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UICI"/>
        <w:rPr>
          <w:lang w:val="it-IT"/>
        </w:rPr>
      </w:pPr>
      <w:r>
        <w:rPr>
          <w:lang w:val="it-IT"/>
        </w:rPr>
        <w:t>SERVIZIO CIVILE UNIVERSALE</w:t>
      </w:r>
    </w:p>
    <w:p>
      <w:pPr>
        <w:pStyle w:val="Normal"/>
        <w:spacing w:before="40" w:after="80"/>
        <w:jc w:val="center"/>
        <w:rPr>
          <w:lang w:val="it-IT"/>
        </w:rPr>
      </w:pPr>
      <w:r>
        <w:rPr>
          <w:b/>
          <w:color w:val="1F4E79"/>
          <w:sz w:val="32"/>
          <w:lang w:val="it-IT"/>
        </w:rPr>
        <w:t>SCHEDA DEGLI ELEMENTI ESSENZIALI DEL PROGETTO</w:t>
      </w:r>
    </w:p>
    <w:p>
      <w:pPr>
        <w:pStyle w:val="Normal"/>
        <w:spacing w:before="0" w:after="180"/>
        <w:jc w:val="center"/>
        <w:rPr>
          <w:lang w:val="it-IT"/>
        </w:rPr>
      </w:pPr>
      <w:r>
        <w:rPr>
          <w:b/>
          <w:sz w:val="28"/>
          <w:lang w:val="it-IT"/>
        </w:rPr>
        <w:t>“</w:t>
      </w:r>
      <w:r>
        <w:rPr>
          <w:b/>
          <w:sz w:val="28"/>
          <w:lang w:val="it-IT"/>
        </w:rPr>
        <w:t>Muoversi insieme: supporto alla mobilità dei ciechi – Agrigento”</w:t>
      </w:r>
    </w:p>
    <w:tbl>
      <w:tblPr>
        <w:tblW w:w="4850" w:type="pct"/>
        <w:jc w:val="center"/>
        <w:tblInd w:w="0" w:type="dxa"/>
        <w:tblLayout w:type="fixed"/>
        <w:tblCellMar>
          <w:top w:w="80" w:type="dxa"/>
          <w:left w:w="95" w:type="dxa"/>
          <w:bottom w:w="80" w:type="dxa"/>
          <w:right w:w="95" w:type="dxa"/>
        </w:tblCellMar>
        <w:tblLook w:firstRow="1" w:noVBand="1" w:lastRow="0" w:firstColumn="1" w:lastColumn="0" w:noHBand="0" w:val="04a0"/>
      </w:tblPr>
      <w:tblGrid>
        <w:gridCol w:w="1477"/>
        <w:gridCol w:w="3748"/>
        <w:gridCol w:w="1624"/>
        <w:gridCol w:w="3208"/>
      </w:tblGrid>
      <w:tr>
        <w:trPr/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6" w:space="0" w:color="9FBAD0"/>
              <w:right w:val="single" w:sz="6" w:space="0" w:color="9FBAD0"/>
            </w:tcBorders>
            <w:shd w:color="auto" w:fill="1F4E79" w:val="clear"/>
          </w:tcPr>
          <w:p>
            <w:pPr>
              <w:pStyle w:val="Normal"/>
              <w:widowControl w:val="false"/>
              <w:spacing w:before="0" w:after="70"/>
              <w:jc w:val="left"/>
              <w:rPr>
                <w:color w:val="FFFFFF" w:themeColor="background1"/>
                <w:lang w:val="it-IT"/>
              </w:rPr>
            </w:pPr>
            <w:r>
              <w:rPr>
                <w:b/>
                <w:color w:val="FFFFFF" w:themeColor="background1"/>
                <w:sz w:val="17"/>
                <w:lang w:val="it-IT"/>
              </w:rPr>
              <w:t>Ente titolare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6" w:space="0" w:color="9FBAD0"/>
              <w:bottom w:val="single" w:sz="6" w:space="0" w:color="9FBAD0"/>
              <w:right w:val="single" w:sz="6" w:space="0" w:color="9FBAD0"/>
            </w:tcBorders>
          </w:tcPr>
          <w:p>
            <w:pPr>
              <w:pStyle w:val="Normal"/>
              <w:widowControl w:val="false"/>
              <w:spacing w:before="0" w:after="70"/>
              <w:jc w:val="left"/>
              <w:rPr>
                <w:lang w:val="it-IT"/>
              </w:rPr>
            </w:pPr>
            <w:r>
              <w:rPr>
                <w:sz w:val="17"/>
                <w:lang w:val="it-IT"/>
              </w:rPr>
              <w:t>Unione Italiana dei Ciechi e degli Ipovedenti ETS-APS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6" w:space="0" w:color="9FBAD0"/>
              <w:bottom w:val="single" w:sz="6" w:space="0" w:color="9FBAD0"/>
              <w:right w:val="single" w:sz="6" w:space="0" w:color="9FBAD0"/>
            </w:tcBorders>
            <w:shd w:color="auto" w:fill="1F4E79" w:val="clear"/>
          </w:tcPr>
          <w:p>
            <w:pPr>
              <w:pStyle w:val="Normal"/>
              <w:widowControl w:val="false"/>
              <w:spacing w:before="0" w:after="70"/>
              <w:jc w:val="left"/>
              <w:rPr>
                <w:color w:val="FFFFFF" w:themeColor="background1"/>
                <w:lang w:val="it-IT"/>
              </w:rPr>
            </w:pPr>
            <w:r>
              <w:rPr>
                <w:b/>
                <w:color w:val="FFFFFF" w:themeColor="background1"/>
                <w:sz w:val="17"/>
                <w:lang w:val="it-IT"/>
              </w:rPr>
              <w:t>Codice ente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6" w:space="0" w:color="9FBAD0"/>
              <w:bottom w:val="single" w:sz="6" w:space="0" w:color="9FBAD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70"/>
              <w:jc w:val="left"/>
              <w:rPr>
                <w:lang w:val="it-IT"/>
              </w:rPr>
            </w:pPr>
            <w:r>
              <w:rPr>
                <w:sz w:val="17"/>
                <w:lang w:val="it-IT"/>
              </w:rPr>
              <w:t>SU00157</w:t>
            </w:r>
          </w:p>
        </w:tc>
      </w:tr>
      <w:tr>
        <w:trPr/>
        <w:tc>
          <w:tcPr>
            <w:tcW w:w="1477" w:type="dxa"/>
            <w:tcBorders>
              <w:top w:val="single" w:sz="6" w:space="0" w:color="9FBAD0"/>
              <w:left w:val="single" w:sz="4" w:space="0" w:color="000000"/>
              <w:bottom w:val="single" w:sz="6" w:space="0" w:color="9FBAD0"/>
              <w:right w:val="single" w:sz="6" w:space="0" w:color="9FBAD0"/>
            </w:tcBorders>
            <w:shd w:color="auto" w:fill="1F4E79" w:val="clear"/>
          </w:tcPr>
          <w:p>
            <w:pPr>
              <w:pStyle w:val="Normal"/>
              <w:widowControl w:val="false"/>
              <w:spacing w:before="0" w:after="70"/>
              <w:jc w:val="left"/>
              <w:rPr>
                <w:color w:val="FFFFFF" w:themeColor="background1"/>
                <w:lang w:val="it-IT"/>
              </w:rPr>
            </w:pPr>
            <w:r>
              <w:rPr>
                <w:b/>
                <w:color w:val="FFFFFF" w:themeColor="background1"/>
                <w:sz w:val="17"/>
                <w:lang w:val="it-IT"/>
              </w:rPr>
              <w:t>Struttura proponente</w:t>
            </w:r>
          </w:p>
        </w:tc>
        <w:tc>
          <w:tcPr>
            <w:tcW w:w="3748" w:type="dxa"/>
            <w:tcBorders>
              <w:top w:val="single" w:sz="6" w:space="0" w:color="9FBAD0"/>
              <w:left w:val="single" w:sz="6" w:space="0" w:color="9FBAD0"/>
              <w:bottom w:val="single" w:sz="6" w:space="0" w:color="9FBAD0"/>
              <w:right w:val="single" w:sz="6" w:space="0" w:color="9FBAD0"/>
            </w:tcBorders>
          </w:tcPr>
          <w:p>
            <w:pPr>
              <w:pStyle w:val="Normal"/>
              <w:widowControl w:val="false"/>
              <w:spacing w:before="0" w:after="70"/>
              <w:jc w:val="left"/>
              <w:rPr>
                <w:lang w:val="it-IT"/>
              </w:rPr>
            </w:pPr>
            <w:r>
              <w:rPr>
                <w:sz w:val="17"/>
                <w:lang w:val="it-IT"/>
              </w:rPr>
              <w:t>Sezione Territoriale di Agrigento</w:t>
            </w:r>
          </w:p>
        </w:tc>
        <w:tc>
          <w:tcPr>
            <w:tcW w:w="1624" w:type="dxa"/>
            <w:tcBorders>
              <w:top w:val="single" w:sz="6" w:space="0" w:color="9FBAD0"/>
              <w:left w:val="single" w:sz="6" w:space="0" w:color="9FBAD0"/>
              <w:bottom w:val="single" w:sz="6" w:space="0" w:color="9FBAD0"/>
              <w:right w:val="single" w:sz="6" w:space="0" w:color="9FBAD0"/>
            </w:tcBorders>
            <w:shd w:color="auto" w:fill="1F4E79" w:val="clear"/>
          </w:tcPr>
          <w:p>
            <w:pPr>
              <w:pStyle w:val="Normal"/>
              <w:widowControl w:val="false"/>
              <w:spacing w:before="0" w:after="70"/>
              <w:jc w:val="left"/>
              <w:rPr>
                <w:color w:val="FFFFFF" w:themeColor="background1"/>
                <w:lang w:val="it-IT"/>
              </w:rPr>
            </w:pPr>
            <w:r>
              <w:rPr>
                <w:b/>
                <w:color w:val="FFFFFF" w:themeColor="background1"/>
                <w:sz w:val="17"/>
                <w:lang w:val="it-IT"/>
              </w:rPr>
              <w:t>Codice progetto</w:t>
            </w:r>
          </w:p>
        </w:tc>
        <w:tc>
          <w:tcPr>
            <w:tcW w:w="3208" w:type="dxa"/>
            <w:tcBorders>
              <w:top w:val="single" w:sz="6" w:space="0" w:color="9FBAD0"/>
              <w:left w:val="single" w:sz="6" w:space="0" w:color="9FBAD0"/>
              <w:bottom w:val="single" w:sz="6" w:space="0" w:color="9FBAD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70"/>
              <w:jc w:val="left"/>
              <w:rPr>
                <w:lang w:val="it-IT"/>
              </w:rPr>
            </w:pPr>
            <w:r>
              <w:rPr>
                <w:sz w:val="17"/>
                <w:lang w:val="it-IT"/>
              </w:rPr>
              <w:t>PTXSU0015725020005NXTX</w:t>
            </w:r>
          </w:p>
        </w:tc>
      </w:tr>
      <w:tr>
        <w:trPr/>
        <w:tc>
          <w:tcPr>
            <w:tcW w:w="1477" w:type="dxa"/>
            <w:tcBorders>
              <w:top w:val="single" w:sz="6" w:space="0" w:color="9FBAD0"/>
              <w:left w:val="single" w:sz="4" w:space="0" w:color="000000"/>
              <w:bottom w:val="single" w:sz="4" w:space="0" w:color="000000"/>
              <w:right w:val="single" w:sz="6" w:space="0" w:color="9FBAD0"/>
            </w:tcBorders>
            <w:shd w:color="auto" w:fill="1F4E79" w:val="clear"/>
          </w:tcPr>
          <w:p>
            <w:pPr>
              <w:pStyle w:val="Normal"/>
              <w:widowControl w:val="false"/>
              <w:spacing w:before="0" w:after="70"/>
              <w:jc w:val="left"/>
              <w:rPr>
                <w:color w:val="FFFFFF" w:themeColor="background1"/>
                <w:lang w:val="it-IT"/>
              </w:rPr>
            </w:pPr>
            <w:r>
              <w:rPr>
                <w:b/>
                <w:color w:val="FFFFFF" w:themeColor="background1"/>
                <w:sz w:val="17"/>
                <w:lang w:val="it-IT"/>
              </w:rPr>
              <w:t>Posti finanziati</w:t>
            </w:r>
          </w:p>
        </w:tc>
        <w:tc>
          <w:tcPr>
            <w:tcW w:w="3748" w:type="dxa"/>
            <w:tcBorders>
              <w:top w:val="single" w:sz="6" w:space="0" w:color="9FBAD0"/>
              <w:left w:val="single" w:sz="6" w:space="0" w:color="9FBAD0"/>
              <w:bottom w:val="single" w:sz="4" w:space="0" w:color="000000"/>
              <w:right w:val="single" w:sz="6" w:space="0" w:color="9FBAD0"/>
            </w:tcBorders>
          </w:tcPr>
          <w:p>
            <w:pPr>
              <w:pStyle w:val="Normal"/>
              <w:widowControl w:val="false"/>
              <w:spacing w:before="0" w:after="70"/>
              <w:jc w:val="left"/>
              <w:rPr>
                <w:lang w:val="it-IT"/>
              </w:rPr>
            </w:pPr>
            <w:r>
              <w:rPr>
                <w:sz w:val="17"/>
                <w:lang w:val="it-IT"/>
              </w:rPr>
              <w:t>30 operatori volontari</w:t>
            </w:r>
          </w:p>
        </w:tc>
        <w:tc>
          <w:tcPr>
            <w:tcW w:w="1624" w:type="dxa"/>
            <w:tcBorders>
              <w:top w:val="single" w:sz="6" w:space="0" w:color="9FBAD0"/>
              <w:left w:val="single" w:sz="6" w:space="0" w:color="9FBAD0"/>
              <w:bottom w:val="single" w:sz="4" w:space="0" w:color="000000"/>
              <w:right w:val="single" w:sz="6" w:space="0" w:color="9FBAD0"/>
            </w:tcBorders>
            <w:shd w:color="auto" w:fill="1F4E79" w:val="clear"/>
          </w:tcPr>
          <w:p>
            <w:pPr>
              <w:pStyle w:val="Normal"/>
              <w:widowControl w:val="false"/>
              <w:spacing w:before="0" w:after="70"/>
              <w:jc w:val="left"/>
              <w:rPr>
                <w:color w:val="FFFFFF" w:themeColor="background1"/>
                <w:lang w:val="it-IT"/>
              </w:rPr>
            </w:pPr>
            <w:r>
              <w:rPr>
                <w:b/>
                <w:color w:val="FFFFFF" w:themeColor="background1"/>
                <w:sz w:val="17"/>
                <w:lang w:val="it-IT"/>
              </w:rPr>
              <w:t>Ambito territoriale</w:t>
            </w:r>
          </w:p>
        </w:tc>
        <w:tc>
          <w:tcPr>
            <w:tcW w:w="3208" w:type="dxa"/>
            <w:tcBorders>
              <w:top w:val="single" w:sz="6" w:space="0" w:color="9FBAD0"/>
              <w:left w:val="single" w:sz="6" w:space="0" w:color="9FBAD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70"/>
              <w:jc w:val="left"/>
              <w:rPr>
                <w:lang w:val="it-IT"/>
              </w:rPr>
            </w:pPr>
            <w:r>
              <w:rPr>
                <w:sz w:val="17"/>
                <w:lang w:val="it-IT"/>
              </w:rPr>
              <w:t>Provincia di Agrigento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TITOLO DEL PROGETTO</w:t>
      </w:r>
    </w:p>
    <w:p>
      <w:pPr>
        <w:pStyle w:val="Normal"/>
        <w:rPr>
          <w:b/>
          <w:b/>
          <w:sz w:val="22"/>
          <w:lang w:val="it-IT"/>
        </w:rPr>
      </w:pPr>
      <w:r>
        <w:rPr>
          <w:b/>
          <w:sz w:val="22"/>
          <w:lang w:val="it-IT"/>
        </w:rPr>
        <w:t>Muoversi insieme: supporto alla mobilità dei ciechi – Agrigento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TIPOLOGIA DI PROGETTO CHE NE INDICA L’OBIETTIVO</w:t>
      </w:r>
    </w:p>
    <w:p>
      <w:pPr>
        <w:pStyle w:val="Normal"/>
        <w:rPr>
          <w:lang w:val="it-IT"/>
        </w:rPr>
      </w:pPr>
      <w:r>
        <w:rPr>
          <w:lang w:val="it-IT"/>
        </w:rPr>
        <w:t>Progetto di accompagnamento dei ciechi civili ai sensi dell’art. 40 della legge 27 dicembre 2002, n. 289.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Obiettivo: </w:t>
      </w:r>
      <w:r>
        <w:rPr>
          <w:lang w:val="it-IT"/>
        </w:rPr>
        <w:t>sostenere la mobilità, l’autonomia personale e la partecipazione sociale, lavorativa, sanitaria e culturale delle persone cieche civili, attraverso servizi personalizzati di accompagnamento e supporto alla vita quotidiana.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DURATA DEL PROGETTO</w:t>
      </w:r>
    </w:p>
    <w:p>
      <w:pPr>
        <w:pStyle w:val="Normal"/>
        <w:rPr>
          <w:b/>
          <w:b/>
          <w:lang w:val="it-IT"/>
        </w:rPr>
      </w:pPr>
      <w:r>
        <w:rPr>
          <w:b/>
          <w:lang w:val="it-IT"/>
        </w:rPr>
        <w:t>12 mesi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ATTIVITÀ DEGLI OPERATORI VOLONTARI</w:t>
      </w:r>
    </w:p>
    <w:p>
      <w:pPr>
        <w:pStyle w:val="Normal"/>
        <w:rPr>
          <w:lang w:val="it-IT"/>
        </w:rPr>
      </w:pPr>
      <w:r>
        <w:rPr>
          <w:lang w:val="it-IT"/>
        </w:rPr>
        <w:t>Gli operatori volontari affiancheranno le persone cieche civili destinatarie del progetto, assicurando un servizio di accompagnamento personalizzato e un supporto concreto nello svolgimento delle attività quotidiane. Le attività saranno articolate in interventi ordinari presso gli assistiti e in ulteriori attività da realizzare presso la sede di attuazione del progetto.</w:t>
      </w:r>
    </w:p>
    <w:p>
      <w:pPr>
        <w:pStyle w:val="Normal"/>
        <w:rPr>
          <w:sz w:val="10"/>
          <w:szCs w:val="10"/>
          <w:lang w:val="it-IT"/>
        </w:rPr>
      </w:pPr>
      <w:r>
        <w:rPr>
          <w:sz w:val="10"/>
          <w:szCs w:val="10"/>
          <w:lang w:val="it-IT"/>
        </w:rPr>
      </w:r>
    </w:p>
    <w:p>
      <w:pPr>
        <w:pStyle w:val="Normal"/>
        <w:rPr>
          <w:lang w:val="it-IT"/>
        </w:rPr>
      </w:pPr>
      <w:r>
        <w:rPr>
          <w:b/>
          <w:bCs/>
          <w:lang w:val="it-IT"/>
        </w:rPr>
        <w:t>a) Attività ordinarie da svolgersi presso gli assistiti</w:t>
      </w:r>
    </w:p>
    <w:p>
      <w:pPr>
        <w:pStyle w:val="Normal"/>
        <w:rPr>
          <w:lang w:val="it-IT"/>
        </w:rPr>
      </w:pPr>
      <w:r>
        <w:rPr>
          <w:lang w:val="it-IT"/>
        </w:rPr>
        <w:t>Gli operatori volontari svolgeranno prevalentemente attività di accompagnamento e assistenza individualizzata, finalizzate a favorire la mobilità, l’autonomia personale, l’inclusione sociale e la partecipazione alla vita lavorativa, sanitaria e comunitaria delle persone con disabilità visiva.</w:t>
      </w:r>
    </w:p>
    <w:p>
      <w:pPr>
        <w:pStyle w:val="Normal"/>
        <w:rPr>
          <w:lang w:val="it-IT"/>
        </w:rPr>
      </w:pPr>
      <w:r>
        <w:rPr>
          <w:lang w:val="it-IT"/>
        </w:rPr>
        <w:t>In particolare, saranno impegnati nelle seguenti attività: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accompagnamento presso i luoghi di lavoro;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accompagnamento per visite mediche, terapie, esami, accertamenti sanitari e percorsi riabilitativi presso studi medici, ambulatori, strutture sanitarie e centri di riabilitazione;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accompagnamento per il disbrigo di pratiche amministrative e per l’accesso ai servizi pubblici, compresi i servizi dell’Agenzia delle Entrate di Agrigento;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accompagnamento e assistenza nella partecipazione ad attività sociali, associative, culturali, ricreative, sportive e religiose;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supporto nelle iniziative finalizzate allo sviluppo dell’autonomia personale e alla partecipazione attiva alla vita della comunità;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lettura della corrispondenza e assistenza nella consultazione e nella verifica di bollette, comunicazioni e documentazione relativa alle utenze domestiche;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registrazione vocale di testi, documenti e comunicazioni, nonché supporto nella fruizione di materiali accessibili;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accompagnamento durante passeggiate, escursioni e iniziative individuali o collettive;</w:t>
      </w:r>
    </w:p>
    <w:p>
      <w:pPr>
        <w:pStyle w:val="Normal"/>
        <w:numPr>
          <w:ilvl w:val="0"/>
          <w:numId w:val="8"/>
        </w:numPr>
        <w:rPr>
          <w:lang w:val="it-IT"/>
        </w:rPr>
      </w:pPr>
      <w:r>
        <w:rPr>
          <w:lang w:val="it-IT"/>
        </w:rPr>
        <w:t>supporto relazionale e operativo nelle attività quotidiane concordate con l’assistito e coerenti con le finalità del progetto.</w:t>
      </w:r>
    </w:p>
    <w:p>
      <w:pPr>
        <w:pStyle w:val="Normal"/>
        <w:rPr>
          <w:lang w:val="it-IT"/>
        </w:rPr>
      </w:pPr>
      <w:r>
        <w:rPr>
          <w:lang w:val="it-IT"/>
        </w:rPr>
        <w:t>Gli spostamenti potranno essere effettuati a piedi, mediante mezzi pubblici o con l’utilizzo di autovetture autorizzate, nel rispetto delle disposizioni del Servizio Civile Universale, delle procedure organizzative dell’ente e delle condizioni di sicurezza previste.</w:t>
      </w:r>
    </w:p>
    <w:p>
      <w:pPr>
        <w:pStyle w:val="Normal"/>
        <w:rPr>
          <w:b/>
          <w:b/>
          <w:bCs/>
          <w:sz w:val="10"/>
          <w:szCs w:val="10"/>
          <w:lang w:val="it-IT"/>
        </w:rPr>
      </w:pPr>
      <w:r>
        <w:rPr>
          <w:b/>
          <w:bCs/>
          <w:sz w:val="10"/>
          <w:szCs w:val="10"/>
          <w:lang w:val="it-IT"/>
        </w:rPr>
      </w:r>
    </w:p>
    <w:p>
      <w:pPr>
        <w:pStyle w:val="Normal"/>
        <w:rPr>
          <w:lang w:val="it-IT"/>
        </w:rPr>
      </w:pPr>
      <w:r>
        <w:rPr>
          <w:b/>
          <w:bCs/>
          <w:lang w:val="it-IT"/>
        </w:rPr>
        <w:t>b) Ulteriori attività da svolgersi presso la sede di attuazione del progetto</w:t>
      </w:r>
    </w:p>
    <w:p>
      <w:pPr>
        <w:pStyle w:val="Normal"/>
        <w:rPr>
          <w:lang w:val="it-IT"/>
        </w:rPr>
      </w:pPr>
      <w:r>
        <w:rPr>
          <w:lang w:val="it-IT"/>
        </w:rPr>
        <w:t>Presso la sede di attuazione, gli operatori volontari parteciperanno a incontri con l’Operatore Locale di Progetto e con il personale dell’ente, finalizzati al coordinamento del servizio, al monitoraggio delle attività e alla verifica dell’andamento del progetto.</w:t>
      </w:r>
    </w:p>
    <w:p>
      <w:pPr>
        <w:pStyle w:val="Normal"/>
        <w:rPr>
          <w:lang w:val="it-IT"/>
        </w:rPr>
      </w:pPr>
      <w:r>
        <w:rPr>
          <w:lang w:val="it-IT"/>
        </w:rPr>
        <w:t>Saranno inoltre previsti momenti di confronto, individuali e di gruppo, per condividere le esperienze maturate, affrontare eventuali criticità e valorizzare le competenze relazionali, organizzative e professionali sviluppate durante il servizio. I volontari potranno partecipare anche ad attività informative e di sensibilizzazione sulla disabilità visiva, sul Servizio Civile Universale e sul funzionamento degli Enti del Terzo Settore.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SEDI DI SVOLGIMENTO</w:t>
      </w:r>
    </w:p>
    <w:p>
      <w:pPr>
        <w:pStyle w:val="Normal"/>
        <w:rPr>
          <w:lang w:val="it-IT"/>
        </w:rPr>
      </w:pPr>
      <w:r>
        <w:rPr>
          <w:lang w:val="it-IT"/>
        </w:rPr>
        <w:t>Il progetto si realizza presso le seguenti sedi accreditate dell’Unione Italiana dei Ciechi e degli Ipovedenti ETS-APS:</w:t>
      </w:r>
    </w:p>
    <w:tbl>
      <w:tblPr>
        <w:tblW w:w="4900" w:type="pct"/>
        <w:jc w:val="center"/>
        <w:tblInd w:w="0" w:type="dxa"/>
        <w:tblLayout w:type="fixed"/>
        <w:tblCellMar>
          <w:top w:w="70" w:type="dxa"/>
          <w:left w:w="80" w:type="dxa"/>
          <w:bottom w:w="70" w:type="dxa"/>
          <w:right w:w="80" w:type="dxa"/>
        </w:tblCellMar>
        <w:tblLook w:firstRow="1" w:noVBand="1" w:lastRow="0" w:firstColumn="1" w:lastColumn="0" w:noHBand="0" w:val="04a0"/>
      </w:tblPr>
      <w:tblGrid>
        <w:gridCol w:w="1067"/>
        <w:gridCol w:w="3171"/>
        <w:gridCol w:w="4158"/>
        <w:gridCol w:w="1110"/>
        <w:gridCol w:w="656"/>
      </w:tblGrid>
      <w:tr>
        <w:trPr>
          <w:tblHeader w:val="true"/>
          <w:trHeight w:val="368" w:hRule="atLeast"/>
        </w:trPr>
        <w:tc>
          <w:tcPr>
            <w:tcW w:w="106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6"/>
                <w:lang w:val="it-IT"/>
              </w:rPr>
              <w:t>Comune</w:t>
            </w:r>
          </w:p>
        </w:tc>
        <w:tc>
          <w:tcPr>
            <w:tcW w:w="317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6"/>
                <w:lang w:val="it-IT"/>
              </w:rPr>
              <w:t>Sede</w:t>
            </w:r>
          </w:p>
        </w:tc>
        <w:tc>
          <w:tcPr>
            <w:tcW w:w="415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6"/>
                <w:lang w:val="it-IT"/>
              </w:rPr>
              <w:t>Indirizzo</w:t>
            </w:r>
          </w:p>
        </w:tc>
        <w:tc>
          <w:tcPr>
            <w:tcW w:w="111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6"/>
                <w:lang w:val="it-IT"/>
              </w:rPr>
              <w:t>Codice sede</w:t>
            </w:r>
          </w:p>
        </w:tc>
        <w:tc>
          <w:tcPr>
            <w:tcW w:w="65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6"/>
                <w:lang w:val="it-IT"/>
              </w:rPr>
              <w:t>Posti</w:t>
            </w:r>
          </w:p>
        </w:tc>
      </w:tr>
      <w:tr>
        <w:trPr>
          <w:trHeight w:val="368" w:hRule="atLeast"/>
        </w:trPr>
        <w:tc>
          <w:tcPr>
            <w:tcW w:w="106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Raffadali</w:t>
            </w:r>
          </w:p>
        </w:tc>
        <w:tc>
          <w:tcPr>
            <w:tcW w:w="317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lang w:val="it-IT"/>
              </w:rPr>
            </w:pPr>
            <w:r>
              <w:rPr>
                <w:sz w:val="16"/>
                <w:lang w:val="it-IT"/>
              </w:rPr>
              <w:t>Rappresentanza UICI di Raffadali</w:t>
            </w:r>
          </w:p>
        </w:tc>
        <w:tc>
          <w:tcPr>
            <w:tcW w:w="415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Via Pezzalonga presso Comune – 92015 Raffadali</w:t>
            </w:r>
          </w:p>
        </w:tc>
        <w:tc>
          <w:tcPr>
            <w:tcW w:w="111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171328</w:t>
            </w:r>
          </w:p>
        </w:tc>
        <w:tc>
          <w:tcPr>
            <w:tcW w:w="65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1</w:t>
            </w:r>
          </w:p>
        </w:tc>
      </w:tr>
      <w:tr>
        <w:trPr>
          <w:trHeight w:val="368" w:hRule="atLeast"/>
        </w:trPr>
        <w:tc>
          <w:tcPr>
            <w:tcW w:w="106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Ravanusa</w:t>
            </w:r>
          </w:p>
        </w:tc>
        <w:tc>
          <w:tcPr>
            <w:tcW w:w="317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lang w:val="it-IT"/>
              </w:rPr>
            </w:pPr>
            <w:r>
              <w:rPr>
                <w:sz w:val="16"/>
                <w:lang w:val="it-IT"/>
              </w:rPr>
              <w:t>Rappresentanza UICI di Ravanusa</w:t>
            </w:r>
          </w:p>
        </w:tc>
        <w:tc>
          <w:tcPr>
            <w:tcW w:w="415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Via Roma presso Comune – 92029 Ravanusa</w:t>
            </w:r>
          </w:p>
        </w:tc>
        <w:tc>
          <w:tcPr>
            <w:tcW w:w="111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171329</w:t>
            </w:r>
          </w:p>
        </w:tc>
        <w:tc>
          <w:tcPr>
            <w:tcW w:w="65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1</w:t>
            </w:r>
          </w:p>
        </w:tc>
      </w:tr>
      <w:tr>
        <w:trPr>
          <w:trHeight w:val="368" w:hRule="atLeast"/>
        </w:trPr>
        <w:tc>
          <w:tcPr>
            <w:tcW w:w="106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Agrigento</w:t>
            </w:r>
          </w:p>
        </w:tc>
        <w:tc>
          <w:tcPr>
            <w:tcW w:w="317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lang w:val="it-IT"/>
              </w:rPr>
            </w:pPr>
            <w:r>
              <w:rPr>
                <w:sz w:val="16"/>
                <w:lang w:val="it-IT"/>
              </w:rPr>
              <w:t>Sezione Territoriale UICI di Agrigento</w:t>
            </w:r>
          </w:p>
        </w:tc>
        <w:tc>
          <w:tcPr>
            <w:tcW w:w="415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Via Imera, 280 – 92100 Agrigento</w:t>
            </w:r>
          </w:p>
        </w:tc>
        <w:tc>
          <w:tcPr>
            <w:tcW w:w="111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171373</w:t>
            </w:r>
          </w:p>
        </w:tc>
        <w:tc>
          <w:tcPr>
            <w:tcW w:w="65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10</w:t>
            </w:r>
          </w:p>
        </w:tc>
      </w:tr>
      <w:tr>
        <w:trPr>
          <w:trHeight w:val="368" w:hRule="atLeast"/>
        </w:trPr>
        <w:tc>
          <w:tcPr>
            <w:tcW w:w="106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Cattolica Eraclea</w:t>
            </w:r>
          </w:p>
        </w:tc>
        <w:tc>
          <w:tcPr>
            <w:tcW w:w="317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lang w:val="it-IT"/>
              </w:rPr>
            </w:pPr>
            <w:r>
              <w:rPr>
                <w:sz w:val="16"/>
                <w:lang w:val="it-IT"/>
              </w:rPr>
              <w:t>Rappresentanza UICI di Cattolica Eraclea</w:t>
            </w:r>
          </w:p>
        </w:tc>
        <w:tc>
          <w:tcPr>
            <w:tcW w:w="415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Via Rosario presso Comune – 92011 Cattolica Eraclea</w:t>
            </w:r>
          </w:p>
        </w:tc>
        <w:tc>
          <w:tcPr>
            <w:tcW w:w="111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171306</w:t>
            </w:r>
          </w:p>
        </w:tc>
        <w:tc>
          <w:tcPr>
            <w:tcW w:w="65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2</w:t>
            </w:r>
          </w:p>
        </w:tc>
      </w:tr>
      <w:tr>
        <w:trPr>
          <w:trHeight w:val="368" w:hRule="atLeast"/>
        </w:trPr>
        <w:tc>
          <w:tcPr>
            <w:tcW w:w="106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Favara</w:t>
            </w:r>
          </w:p>
        </w:tc>
        <w:tc>
          <w:tcPr>
            <w:tcW w:w="317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lang w:val="it-IT"/>
              </w:rPr>
            </w:pPr>
            <w:r>
              <w:rPr>
                <w:sz w:val="16"/>
                <w:lang w:val="it-IT"/>
              </w:rPr>
              <w:t>Rappresentanza UICI di Favara</w:t>
            </w:r>
          </w:p>
        </w:tc>
        <w:tc>
          <w:tcPr>
            <w:tcW w:w="415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Piazza Cavour – 92026 Favara</w:t>
            </w:r>
          </w:p>
        </w:tc>
        <w:tc>
          <w:tcPr>
            <w:tcW w:w="111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171311</w:t>
            </w:r>
          </w:p>
        </w:tc>
        <w:tc>
          <w:tcPr>
            <w:tcW w:w="65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2</w:t>
            </w:r>
          </w:p>
        </w:tc>
      </w:tr>
      <w:tr>
        <w:trPr>
          <w:trHeight w:val="368" w:hRule="atLeast"/>
        </w:trPr>
        <w:tc>
          <w:tcPr>
            <w:tcW w:w="106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Ribera</w:t>
            </w:r>
          </w:p>
        </w:tc>
        <w:tc>
          <w:tcPr>
            <w:tcW w:w="317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lang w:val="it-IT"/>
              </w:rPr>
            </w:pPr>
            <w:r>
              <w:rPr>
                <w:sz w:val="16"/>
                <w:lang w:val="it-IT"/>
              </w:rPr>
              <w:t>Rappresentanza UICI di Ribera</w:t>
            </w:r>
          </w:p>
        </w:tc>
        <w:tc>
          <w:tcPr>
            <w:tcW w:w="415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Corso Umberto presso Comune – 92016 Ribera</w:t>
            </w:r>
          </w:p>
        </w:tc>
        <w:tc>
          <w:tcPr>
            <w:tcW w:w="111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171330</w:t>
            </w:r>
          </w:p>
        </w:tc>
        <w:tc>
          <w:tcPr>
            <w:tcW w:w="65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2</w:t>
            </w:r>
          </w:p>
        </w:tc>
      </w:tr>
      <w:tr>
        <w:trPr>
          <w:trHeight w:val="368" w:hRule="atLeast"/>
        </w:trPr>
        <w:tc>
          <w:tcPr>
            <w:tcW w:w="106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Licata</w:t>
            </w:r>
          </w:p>
        </w:tc>
        <w:tc>
          <w:tcPr>
            <w:tcW w:w="317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lang w:val="it-IT"/>
              </w:rPr>
            </w:pPr>
            <w:r>
              <w:rPr>
                <w:sz w:val="16"/>
                <w:lang w:val="it-IT"/>
              </w:rPr>
              <w:t>Rappresentanza UICI di Licata</w:t>
            </w:r>
          </w:p>
        </w:tc>
        <w:tc>
          <w:tcPr>
            <w:tcW w:w="415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Piazza Progresso – 92027 Licata</w:t>
            </w:r>
          </w:p>
        </w:tc>
        <w:tc>
          <w:tcPr>
            <w:tcW w:w="111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171317</w:t>
            </w:r>
          </w:p>
        </w:tc>
        <w:tc>
          <w:tcPr>
            <w:tcW w:w="65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5</w:t>
            </w:r>
          </w:p>
        </w:tc>
      </w:tr>
      <w:tr>
        <w:trPr>
          <w:trHeight w:val="368" w:hRule="atLeast"/>
        </w:trPr>
        <w:tc>
          <w:tcPr>
            <w:tcW w:w="106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Sciacca</w:t>
            </w:r>
          </w:p>
        </w:tc>
        <w:tc>
          <w:tcPr>
            <w:tcW w:w="317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lang w:val="it-IT"/>
              </w:rPr>
            </w:pPr>
            <w:r>
              <w:rPr>
                <w:sz w:val="16"/>
                <w:lang w:val="it-IT"/>
              </w:rPr>
              <w:t>Rappresentanza UICI di Sciacca</w:t>
            </w:r>
          </w:p>
        </w:tc>
        <w:tc>
          <w:tcPr>
            <w:tcW w:w="415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6"/>
                <w:lang w:val="it-IT"/>
              </w:rPr>
              <w:t>Via Roma – 92019 Sciacca</w:t>
            </w:r>
          </w:p>
        </w:tc>
        <w:tc>
          <w:tcPr>
            <w:tcW w:w="111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171339</w:t>
            </w:r>
          </w:p>
        </w:tc>
        <w:tc>
          <w:tcPr>
            <w:tcW w:w="65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6"/>
                <w:lang w:val="it-IT"/>
              </w:rPr>
              <w:t>7</w:t>
            </w:r>
          </w:p>
        </w:tc>
      </w:tr>
      <w:tr>
        <w:trPr>
          <w:trHeight w:val="368" w:hRule="atLeast"/>
        </w:trPr>
        <w:tc>
          <w:tcPr>
            <w:tcW w:w="9506" w:type="dxa"/>
            <w:gridSpan w:val="4"/>
            <w:tcBorders>
              <w:top w:val="single" w:sz="6" w:space="0" w:color="1F4E79"/>
              <w:left w:val="single" w:sz="4" w:space="0" w:color="9FBAD0"/>
              <w:bottom w:val="single" w:sz="6" w:space="0" w:color="1F4E79"/>
              <w:right w:val="single" w:sz="4" w:space="0" w:color="9FBAD0"/>
            </w:tcBorders>
            <w:shd w:color="auto" w:fill="D9EAF7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70"/>
              <w:jc w:val="right"/>
              <w:rPr>
                <w:lang w:val="it-IT"/>
              </w:rPr>
            </w:pPr>
            <w:r>
              <w:rPr>
                <w:b/>
                <w:color w:val="1F4E79"/>
                <w:sz w:val="17"/>
                <w:lang w:val="it-IT"/>
              </w:rPr>
              <w:t>TOTALE COMPLESSIVO</w:t>
            </w:r>
          </w:p>
        </w:tc>
        <w:tc>
          <w:tcPr>
            <w:tcW w:w="656" w:type="dxa"/>
            <w:tcBorders>
              <w:top w:val="single" w:sz="6" w:space="0" w:color="1F4E79"/>
              <w:left w:val="single" w:sz="4" w:space="0" w:color="9FBAD0"/>
              <w:bottom w:val="single" w:sz="6" w:space="0" w:color="1F4E79"/>
              <w:right w:val="single" w:sz="4" w:space="0" w:color="9FBAD0"/>
            </w:tcBorders>
            <w:shd w:color="auto" w:fill="D9EAF7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70"/>
              <w:jc w:val="center"/>
              <w:rPr>
                <w:lang w:val="it-IT"/>
              </w:rPr>
            </w:pPr>
            <w:r>
              <w:rPr>
                <w:b/>
                <w:color w:val="1F4E79"/>
                <w:sz w:val="17"/>
                <w:lang w:val="it-IT"/>
              </w:rPr>
              <w:t>30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POSTI DISPONIBILI E SERVIZI OFFERTI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Numero complessivo dei posti: </w:t>
      </w:r>
      <w:r>
        <w:rPr>
          <w:lang w:val="it-IT"/>
        </w:rPr>
        <w:t>30.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Tipologia dei posti: </w:t>
      </w:r>
      <w:r>
        <w:rPr>
          <w:lang w:val="it-IT"/>
        </w:rPr>
        <w:t>tutti i posti sono senza vitto e alloggio.</w:t>
      </w:r>
    </w:p>
    <w:p>
      <w:pPr>
        <w:pStyle w:val="Normal"/>
        <w:spacing w:lineRule="auto" w:line="276" w:before="0" w:after="200"/>
        <w:jc w:val="left"/>
        <w:rPr>
          <w:lang w:val="it-IT"/>
        </w:rPr>
      </w:pPr>
      <w:r>
        <w:rPr>
          <w:lang w:val="it-IT"/>
        </w:rPr>
      </w:r>
      <w:r>
        <w:br w:type="page"/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GIORNI DI SERVIZIO E ORARIO</w:t>
      </w:r>
    </w:p>
    <w:tbl>
      <w:tblPr>
        <w:tblW w:w="4900" w:type="pct"/>
        <w:jc w:val="center"/>
        <w:tblInd w:w="0" w:type="dxa"/>
        <w:tblLayout w:type="fixed"/>
        <w:tblCellMar>
          <w:top w:w="70" w:type="dxa"/>
          <w:left w:w="80" w:type="dxa"/>
          <w:bottom w:w="70" w:type="dxa"/>
          <w:right w:w="80" w:type="dxa"/>
        </w:tblCellMar>
        <w:tblLook w:firstRow="1" w:noVBand="1" w:lastRow="0" w:firstColumn="1" w:lastColumn="0" w:noHBand="0" w:val="04a0"/>
      </w:tblPr>
      <w:tblGrid>
        <w:gridCol w:w="3643"/>
        <w:gridCol w:w="6518"/>
      </w:tblGrid>
      <w:tr>
        <w:trPr>
          <w:tblHeader w:val="true"/>
        </w:trPr>
        <w:tc>
          <w:tcPr>
            <w:tcW w:w="364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8"/>
                <w:lang w:val="it-IT"/>
              </w:rPr>
              <w:t>Voce</w:t>
            </w:r>
          </w:p>
        </w:tc>
        <w:tc>
          <w:tcPr>
            <w:tcW w:w="651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8"/>
                <w:lang w:val="it-IT"/>
              </w:rPr>
              <w:t>Articolazione</w:t>
            </w:r>
          </w:p>
        </w:tc>
      </w:tr>
      <w:tr>
        <w:trPr/>
        <w:tc>
          <w:tcPr>
            <w:tcW w:w="364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Impegno settimanale</w:t>
            </w:r>
          </w:p>
        </w:tc>
        <w:tc>
          <w:tcPr>
            <w:tcW w:w="651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25 ore</w:t>
            </w:r>
          </w:p>
        </w:tc>
      </w:tr>
      <w:tr>
        <w:trPr/>
        <w:tc>
          <w:tcPr>
            <w:tcW w:w="364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Giorni di servizio</w:t>
            </w:r>
          </w:p>
        </w:tc>
        <w:tc>
          <w:tcPr>
            <w:tcW w:w="651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5 giorni a settimana, di norma dal lunedì al venerdì</w:t>
            </w:r>
          </w:p>
        </w:tc>
      </w:tr>
      <w:tr>
        <w:trPr/>
        <w:tc>
          <w:tcPr>
            <w:tcW w:w="364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Servizio presso l’assistito</w:t>
            </w:r>
          </w:p>
        </w:tc>
        <w:tc>
          <w:tcPr>
            <w:tcW w:w="651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22 ore e 30 minuti settimanali</w:t>
            </w:r>
          </w:p>
        </w:tc>
      </w:tr>
      <w:tr>
        <w:trPr/>
        <w:tc>
          <w:tcPr>
            <w:tcW w:w="3643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Attività presso la sede di attuazione</w:t>
            </w:r>
          </w:p>
        </w:tc>
        <w:tc>
          <w:tcPr>
            <w:tcW w:w="651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2 ore e 30 minuti settimanali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  <w:t>In presenza di specifiche attività progettuali o eventi eccezionali, l’orario potrà essere rimodulato con adeguato preavviso e nel rispetto delle disposizioni vigenti. Le eventuali ore eccedenti saranno recuperate entro i termini previsti.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EVENTUALI PARTICOLARI CONDIZIONI E OBBLIGHI DEGLI OPERATORI VOLONTARI</w:t>
      </w:r>
    </w:p>
    <w:p>
      <w:pPr>
        <w:pStyle w:val="ListBullet"/>
        <w:numPr>
          <w:ilvl w:val="0"/>
          <w:numId w:val="7"/>
        </w:numPr>
        <w:spacing w:before="0" w:after="40"/>
        <w:contextualSpacing/>
        <w:rPr>
          <w:lang w:val="it-IT"/>
        </w:rPr>
      </w:pPr>
      <w:r>
        <w:rPr>
          <w:lang w:val="it-IT"/>
        </w:rPr>
        <w:t>rispettare le norme in materia di igiene, sicurezza e tutela della salute nei luoghi di lavoro, nonché i protocolli e le indicazioni organizzative dell’ente;</w:t>
      </w:r>
    </w:p>
    <w:p>
      <w:pPr>
        <w:pStyle w:val="ListBullet"/>
        <w:numPr>
          <w:ilvl w:val="0"/>
          <w:numId w:val="7"/>
        </w:numPr>
        <w:spacing w:before="0" w:after="40"/>
        <w:contextualSpacing/>
        <w:rPr>
          <w:lang w:val="it-IT"/>
        </w:rPr>
      </w:pPr>
      <w:r>
        <w:rPr>
          <w:lang w:val="it-IT"/>
        </w:rPr>
        <w:t>garantire la reperibilità telefonica durante l’orario di servizio, per consentire la gestione di eventuali variazioni o imprevisti negli accompagnamenti;</w:t>
      </w:r>
    </w:p>
    <w:p>
      <w:pPr>
        <w:pStyle w:val="ListBullet"/>
        <w:numPr>
          <w:ilvl w:val="0"/>
          <w:numId w:val="7"/>
        </w:numPr>
        <w:spacing w:before="0" w:after="40"/>
        <w:contextualSpacing/>
        <w:rPr>
          <w:lang w:val="it-IT"/>
        </w:rPr>
      </w:pPr>
      <w:r>
        <w:rPr>
          <w:lang w:val="it-IT"/>
        </w:rPr>
        <w:t>assicurare una ragionevole flessibilità oraria in occasione di attività eccezionali o eventi programmati, con adeguato preavviso;</w:t>
      </w:r>
    </w:p>
    <w:p>
      <w:pPr>
        <w:pStyle w:val="ListBullet"/>
        <w:numPr>
          <w:ilvl w:val="0"/>
          <w:numId w:val="7"/>
        </w:numPr>
        <w:spacing w:before="0" w:after="40"/>
        <w:contextualSpacing/>
        <w:rPr>
          <w:lang w:val="it-IT"/>
        </w:rPr>
      </w:pPr>
      <w:r>
        <w:rPr>
          <w:lang w:val="it-IT"/>
        </w:rPr>
        <w:t>essere disponibili a effettuare spostamenti anche fuori dal territorio urbano, in presenza di motivate esigenze lavorative o sanitarie degli assistiti;</w:t>
      </w:r>
    </w:p>
    <w:p>
      <w:pPr>
        <w:pStyle w:val="ListBullet"/>
        <w:numPr>
          <w:ilvl w:val="0"/>
          <w:numId w:val="7"/>
        </w:numPr>
        <w:spacing w:before="0" w:after="40"/>
        <w:contextualSpacing/>
        <w:rPr>
          <w:lang w:val="it-IT"/>
        </w:rPr>
      </w:pPr>
      <w:r>
        <w:rPr>
          <w:lang w:val="it-IT"/>
        </w:rPr>
        <w:t>mantenere la massima riservatezza sui dati personali, sulle informazioni sensibili e su quanto appreso durante il servizio;</w:t>
      </w:r>
    </w:p>
    <w:p>
      <w:pPr>
        <w:pStyle w:val="ListBullet"/>
        <w:numPr>
          <w:ilvl w:val="0"/>
          <w:numId w:val="7"/>
        </w:numPr>
        <w:spacing w:before="0" w:after="40"/>
        <w:contextualSpacing/>
        <w:rPr>
          <w:lang w:val="it-IT"/>
        </w:rPr>
      </w:pPr>
      <w:r>
        <w:rPr>
          <w:lang w:val="it-IT"/>
        </w:rPr>
        <w:t>programmare la fruizione dei permessi compatibilmente con le esigenze del progetto, con gli eventuali periodi di chiusura programmata della sede e con le assenze prolungate dell’assistito.</w:t>
      </w:r>
    </w:p>
    <w:p>
      <w:pPr>
        <w:pStyle w:val="ListBullet"/>
        <w:numPr>
          <w:ilvl w:val="0"/>
          <w:numId w:val="0"/>
        </w:numPr>
        <w:spacing w:before="0" w:after="40"/>
        <w:ind w:left="0" w:hanging="0"/>
        <w:contextualSpacing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ULTERIORI REQUISITI RICHIESTI</w:t>
      </w:r>
    </w:p>
    <w:p>
      <w:pPr>
        <w:pStyle w:val="Normal"/>
        <w:keepNext w:val="true"/>
        <w:rPr>
          <w:lang w:val="it-IT"/>
        </w:rPr>
      </w:pPr>
      <w:r>
        <w:rPr>
          <w:b/>
          <w:lang w:val="it-IT"/>
        </w:rPr>
        <w:t xml:space="preserve">Conoscenze informatiche di base: </w:t>
      </w:r>
      <w:r>
        <w:rPr>
          <w:lang w:val="it-IT"/>
        </w:rPr>
        <w:t>sono richieste in relazione all’utilizzo degli strumenti digitali impiegati nelle attività progettuali e saranno verificate durante il colloquio. Il possesso di un titolo formativo in ambito informatico costituisce elemento qualificante, ma non requisito determinante.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Patente di guida di categoria B: </w:t>
      </w:r>
      <w:r>
        <w:rPr>
          <w:lang w:val="it-IT"/>
        </w:rPr>
        <w:t>costituisce titolo preferenziale, considerata la natura dei servizi di accompagnamento previsti dal progetto.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DESCRIZIONE DEI CRITERI DI SELEZIONE</w:t>
      </w:r>
    </w:p>
    <w:p>
      <w:pPr>
        <w:pStyle w:val="Normal"/>
        <w:rPr>
          <w:lang w:val="it-IT"/>
        </w:rPr>
      </w:pPr>
      <w:r>
        <w:rPr>
          <w:lang w:val="it-IT"/>
        </w:rPr>
        <w:t>La selezione si articola nella valutazione documentale dei titoli e delle esperienze dichiarate e in un colloquio individuale. Il punteggio massimo complessivo è pari a 100 punti.</w:t>
      </w:r>
    </w:p>
    <w:tbl>
      <w:tblPr>
        <w:tblW w:w="4900" w:type="pct"/>
        <w:jc w:val="center"/>
        <w:tblInd w:w="0" w:type="dxa"/>
        <w:tblLayout w:type="fixed"/>
        <w:tblCellMar>
          <w:top w:w="70" w:type="dxa"/>
          <w:left w:w="80" w:type="dxa"/>
          <w:bottom w:w="70" w:type="dxa"/>
          <w:right w:w="80" w:type="dxa"/>
        </w:tblCellMar>
        <w:tblLook w:firstRow="1" w:noVBand="1" w:lastRow="0" w:firstColumn="1" w:lastColumn="0" w:noHBand="0" w:val="04a0"/>
      </w:tblPr>
      <w:tblGrid>
        <w:gridCol w:w="1288"/>
        <w:gridCol w:w="7427"/>
        <w:gridCol w:w="1447"/>
      </w:tblGrid>
      <w:tr>
        <w:trPr>
          <w:tblHeader w:val="true"/>
          <w:trHeight w:val="415" w:hRule="atLeast"/>
        </w:trPr>
        <w:tc>
          <w:tcPr>
            <w:tcW w:w="128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Fase</w:t>
            </w:r>
          </w:p>
        </w:tc>
        <w:tc>
          <w:tcPr>
            <w:tcW w:w="742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Elementi valutati</w:t>
            </w:r>
          </w:p>
        </w:tc>
        <w:tc>
          <w:tcPr>
            <w:tcW w:w="144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Punteggio massimo</w:t>
            </w:r>
          </w:p>
        </w:tc>
      </w:tr>
      <w:tr>
        <w:trPr>
          <w:trHeight w:val="586" w:hRule="atLeast"/>
        </w:trPr>
        <w:tc>
          <w:tcPr>
            <w:tcW w:w="128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Valutazione documentale</w:t>
            </w:r>
          </w:p>
        </w:tc>
        <w:tc>
          <w:tcPr>
            <w:tcW w:w="742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Titolo di studio (max 8); titoli professionali (max 5); altre esperienze certificate (max 3); patente B (3); precedenti esperienze presso UICI, nello stesso settore o in settori analoghi (max 18); altre conoscenze e professionalità (max 3).</w:t>
            </w:r>
          </w:p>
        </w:tc>
        <w:tc>
          <w:tcPr>
            <w:tcW w:w="144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40 punti</w:t>
            </w:r>
          </w:p>
        </w:tc>
      </w:tr>
      <w:tr>
        <w:trPr>
          <w:trHeight w:val="586" w:hRule="atLeast"/>
        </w:trPr>
        <w:tc>
          <w:tcPr>
            <w:tcW w:w="128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Colloquio</w:t>
            </w:r>
          </w:p>
        </w:tc>
        <w:tc>
          <w:tcPr>
            <w:tcW w:w="742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Media dei punteggi conseguiti nelle tre aree: relazionale/motivazionale; conoscenze/competenze; disponibilità/esperienza.</w:t>
            </w:r>
          </w:p>
        </w:tc>
        <w:tc>
          <w:tcPr>
            <w:tcW w:w="144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60 punti</w:t>
            </w:r>
          </w:p>
        </w:tc>
      </w:tr>
      <w:tr>
        <w:trPr>
          <w:trHeight w:val="586" w:hRule="atLeast"/>
        </w:trPr>
        <w:tc>
          <w:tcPr>
            <w:tcW w:w="1288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Totale</w:t>
            </w:r>
          </w:p>
        </w:tc>
        <w:tc>
          <w:tcPr>
            <w:tcW w:w="742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Somma della valutazione documentale e del colloquio.</w:t>
            </w:r>
          </w:p>
        </w:tc>
        <w:tc>
          <w:tcPr>
            <w:tcW w:w="1447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100 punti</w:t>
            </w:r>
          </w:p>
        </w:tc>
      </w:tr>
    </w:tbl>
    <w:p>
      <w:pPr>
        <w:pStyle w:val="Normal"/>
        <w:rPr>
          <w:b/>
          <w:b/>
          <w:sz w:val="12"/>
          <w:szCs w:val="14"/>
          <w:lang w:val="it-IT"/>
        </w:rPr>
      </w:pPr>
      <w:r>
        <w:rPr>
          <w:b/>
          <w:sz w:val="12"/>
          <w:szCs w:val="14"/>
          <w:lang w:val="it-IT"/>
        </w:rPr>
      </w:r>
    </w:p>
    <w:p>
      <w:pPr>
        <w:pStyle w:val="Normal"/>
        <w:rPr>
          <w:b/>
          <w:b/>
          <w:lang w:val="it-IT"/>
        </w:rPr>
      </w:pPr>
      <w:r>
        <w:rPr>
          <w:b/>
          <w:lang w:val="it-IT"/>
        </w:rPr>
      </w:r>
    </w:p>
    <w:p>
      <w:pPr>
        <w:pStyle w:val="Normal"/>
        <w:rPr>
          <w:b/>
          <w:b/>
          <w:lang w:val="it-IT"/>
        </w:rPr>
      </w:pPr>
      <w:r>
        <w:rPr>
          <w:b/>
          <w:lang w:val="it-IT"/>
        </w:rPr>
      </w:r>
    </w:p>
    <w:p>
      <w:pPr>
        <w:pStyle w:val="Normal"/>
        <w:rPr>
          <w:lang w:val="it-IT"/>
        </w:rPr>
      </w:pPr>
      <w:r>
        <w:rPr>
          <w:b/>
          <w:lang w:val="it-IT"/>
        </w:rPr>
        <w:t>Contenuti del colloquio:</w:t>
      </w:r>
    </w:p>
    <w:p>
      <w:pPr>
        <w:pStyle w:val="ListBullet"/>
        <w:numPr>
          <w:ilvl w:val="0"/>
          <w:numId w:val="1"/>
        </w:numPr>
        <w:spacing w:before="0" w:after="40"/>
        <w:ind w:left="351" w:hanging="159"/>
        <w:contextualSpacing/>
        <w:rPr>
          <w:lang w:val="it-IT"/>
        </w:rPr>
      </w:pPr>
      <w:r>
        <w:rPr>
          <w:lang w:val="it-IT"/>
        </w:rPr>
        <w:t>Area relazionale/motivazionale: motivazioni generali per il Servizio Civile presso l’UICI; idoneità alle mansioni; doti e abilità umane; capacità relazionali e comunicative.</w:t>
      </w:r>
    </w:p>
    <w:p>
      <w:pPr>
        <w:pStyle w:val="ListBullet"/>
        <w:numPr>
          <w:ilvl w:val="0"/>
          <w:numId w:val="1"/>
        </w:numPr>
        <w:spacing w:before="0" w:after="40"/>
        <w:ind w:left="351" w:hanging="159"/>
        <w:contextualSpacing/>
        <w:rPr>
          <w:lang w:val="it-IT"/>
        </w:rPr>
      </w:pPr>
      <w:r>
        <w:rPr>
          <w:lang w:val="it-IT"/>
        </w:rPr>
        <w:t>Area delle conoscenze/competenze: conoscenza del Servizio Civile Universale; conoscenza del progetto; conoscenze informatiche; prova pratica di lettura.</w:t>
      </w:r>
    </w:p>
    <w:p>
      <w:pPr>
        <w:pStyle w:val="ListBullet"/>
        <w:numPr>
          <w:ilvl w:val="0"/>
          <w:numId w:val="1"/>
        </w:numPr>
        <w:spacing w:before="0" w:after="40"/>
        <w:ind w:left="351" w:hanging="159"/>
        <w:contextualSpacing/>
        <w:rPr>
          <w:lang w:val="it-IT"/>
        </w:rPr>
      </w:pPr>
      <w:r>
        <w:rPr>
          <w:lang w:val="it-IT"/>
        </w:rPr>
        <w:t>Area della disponibilità/esperienza: precedenti esperienze di volontariato; disponibilità alla flessibilità oraria e agli spostamenti; disponibilità a proseguire le attività al termine del servizio; ulteriori elementi valutativi definiti dalla Commissione.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Soglia minima di idoneità: </w:t>
      </w:r>
      <w:r>
        <w:rPr>
          <w:lang w:val="it-IT"/>
        </w:rPr>
        <w:t>il candidato deve conseguire nel colloquio almeno 36/60. Un punteggio inferiore comporta la non idoneità al progetto.</w:t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Per un’adeguata preparazione al colloquio, si raccomanda ai candidati di prendere visione del sistema di selezione adottato dall’Unione Italiana dei Ciechi e degli Ipovedenti. Il documento integrale è disponibile nella specifica sezione della presente scheda sintetica oppure al seguente link: </w:t>
      </w:r>
      <w:hyperlink r:id="rId2">
        <w:r>
          <w:rPr>
            <w:rStyle w:val="CollegamentoInternet"/>
            <w:lang w:val="it-IT"/>
          </w:rPr>
          <w:t>https://uiciechi.it/serviziocivile/Reclutamento.pdf</w:t>
        </w:r>
      </w:hyperlink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CARATTERISTICHE DELLE COMPETENZE ACQUISIBILI</w:t>
      </w:r>
    </w:p>
    <w:tbl>
      <w:tblPr>
        <w:tblW w:w="4950" w:type="pct"/>
        <w:jc w:val="center"/>
        <w:tblInd w:w="0" w:type="dxa"/>
        <w:tblLayout w:type="fixed"/>
        <w:tblCellMar>
          <w:top w:w="70" w:type="dxa"/>
          <w:left w:w="80" w:type="dxa"/>
          <w:bottom w:w="70" w:type="dxa"/>
          <w:right w:w="80" w:type="dxa"/>
        </w:tblCellMar>
        <w:tblLook w:firstRow="1" w:noVBand="1" w:lastRow="0" w:firstColumn="1" w:lastColumn="0" w:noHBand="0" w:val="04a0"/>
      </w:tblPr>
      <w:tblGrid>
        <w:gridCol w:w="3264"/>
        <w:gridCol w:w="7001"/>
      </w:tblGrid>
      <w:tr>
        <w:trPr>
          <w:tblHeader w:val="true"/>
          <w:trHeight w:val="207" w:hRule="atLeast"/>
        </w:trPr>
        <w:tc>
          <w:tcPr>
            <w:tcW w:w="3264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8"/>
                <w:lang w:val="it-IT"/>
              </w:rPr>
              <w:t>Voce</w:t>
            </w:r>
          </w:p>
        </w:tc>
        <w:tc>
          <w:tcPr>
            <w:tcW w:w="700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8"/>
                <w:lang w:val="it-IT"/>
              </w:rPr>
              <w:t>Previsione progettuale</w:t>
            </w:r>
          </w:p>
        </w:tc>
      </w:tr>
      <w:tr>
        <w:trPr>
          <w:trHeight w:val="207" w:hRule="atLeast"/>
        </w:trPr>
        <w:tc>
          <w:tcPr>
            <w:tcW w:w="3264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Crediti formativi</w:t>
            </w:r>
          </w:p>
        </w:tc>
        <w:tc>
          <w:tcPr>
            <w:tcW w:w="700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Non previsti</w:t>
            </w:r>
          </w:p>
        </w:tc>
      </w:tr>
      <w:tr>
        <w:trPr>
          <w:trHeight w:val="207" w:hRule="atLeast"/>
        </w:trPr>
        <w:tc>
          <w:tcPr>
            <w:tcW w:w="3264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Tirocini</w:t>
            </w:r>
          </w:p>
        </w:tc>
        <w:tc>
          <w:tcPr>
            <w:tcW w:w="700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Non previsti</w:t>
            </w:r>
          </w:p>
        </w:tc>
      </w:tr>
      <w:tr>
        <w:trPr>
          <w:trHeight w:val="207" w:hRule="atLeast"/>
        </w:trPr>
        <w:tc>
          <w:tcPr>
            <w:tcW w:w="3264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>Attestazione delle competenze</w:t>
            </w:r>
          </w:p>
        </w:tc>
        <w:tc>
          <w:tcPr>
            <w:tcW w:w="7001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8"/>
                <w:lang w:val="it-IT"/>
              </w:rPr>
              <w:t>Attestato specifico rilasciato dall’ente proponente il progetto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  <w:t>L’esperienza consentirà di sviluppare competenze relazionali, organizzative e comunicative, capacità di supporto alla mobilità e all’autonomia delle persone con disabilità visiva, conoscenze sugli ausili tiflologici e tifloinformatici, sul sistema Braille e sul funzionamento degli Enti del Terzo Settore.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>FORMAZIONE SPECIFICA DEGLI OPERATORI VOLONTARI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Durata complessiva: </w:t>
      </w:r>
      <w:r>
        <w:rPr>
          <w:lang w:val="it-IT"/>
        </w:rPr>
        <w:t>52 ore, di cui 15 ore online e 37 ore in presenza. Il 70% delle ore sarà erogato entro il 90° giorno dall’avvio del progetto e il restante 30% entro il terz’ultimo mese di servizio.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Sedi di realizzazione: </w:t>
      </w:r>
      <w:r>
        <w:rPr>
          <w:lang w:val="it-IT"/>
        </w:rPr>
        <w:t xml:space="preserve">UICI ETS-APS – Sezione Territoriale di Agrigento, Via Imera 280, Agrigento; </w:t>
      </w:r>
    </w:p>
    <w:p>
      <w:pPr>
        <w:pStyle w:val="Normal"/>
        <w:rPr>
          <w:lang w:val="it-IT"/>
        </w:rPr>
      </w:pPr>
      <w:r>
        <w:rPr>
          <w:lang w:val="it-IT"/>
        </w:rPr>
        <w:t>UICI – Presidenza Nazionale, Via Borgognona 38, Roma, per le attività in formazione a distanza.</w:t>
      </w:r>
    </w:p>
    <w:tbl>
      <w:tblPr>
        <w:tblW w:w="4900" w:type="pct"/>
        <w:jc w:val="center"/>
        <w:tblInd w:w="0" w:type="dxa"/>
        <w:tblLayout w:type="fixed"/>
        <w:tblCellMar>
          <w:top w:w="70" w:type="dxa"/>
          <w:left w:w="80" w:type="dxa"/>
          <w:bottom w:w="70" w:type="dxa"/>
          <w:right w:w="80" w:type="dxa"/>
        </w:tblCellMar>
        <w:tblLook w:firstRow="1" w:noVBand="1" w:lastRow="0" w:firstColumn="1" w:lastColumn="0" w:noHBand="0" w:val="04a0"/>
      </w:tblPr>
      <w:tblGrid>
        <w:gridCol w:w="762"/>
        <w:gridCol w:w="5830"/>
        <w:gridCol w:w="750"/>
        <w:gridCol w:w="2819"/>
      </w:tblGrid>
      <w:tr>
        <w:trPr>
          <w:tblHeader w:val="true"/>
        </w:trPr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Modulo</w:t>
            </w:r>
          </w:p>
        </w:tc>
        <w:tc>
          <w:tcPr>
            <w:tcW w:w="583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Contenuti principali</w:t>
            </w:r>
          </w:p>
        </w:tc>
        <w:tc>
          <w:tcPr>
            <w:tcW w:w="75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Ore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Modalità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1.A</w:t>
            </w:r>
          </w:p>
        </w:tc>
        <w:tc>
          <w:tcPr>
            <w:tcW w:w="583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Sicurezza e rischi connessi all’impiego degli operatori volontari</w:t>
            </w:r>
          </w:p>
        </w:tc>
        <w:tc>
          <w:tcPr>
            <w:tcW w:w="75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5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FAD / dibattito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2.A</w:t>
            </w:r>
          </w:p>
        </w:tc>
        <w:tc>
          <w:tcPr>
            <w:tcW w:w="583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Storia dell’Unione Italiana dei Ciechi e degli Ipovedenti</w:t>
            </w:r>
          </w:p>
        </w:tc>
        <w:tc>
          <w:tcPr>
            <w:tcW w:w="75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5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In presenza / dibattito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3.A</w:t>
            </w:r>
          </w:p>
        </w:tc>
        <w:tc>
          <w:tcPr>
            <w:tcW w:w="583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Funzione e attività dell’UICI e rapporti con le istituzioni</w:t>
            </w:r>
          </w:p>
        </w:tc>
        <w:tc>
          <w:tcPr>
            <w:tcW w:w="75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3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FAD / dibattito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5.A</w:t>
            </w:r>
          </w:p>
        </w:tc>
        <w:tc>
          <w:tcPr>
            <w:tcW w:w="583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Enti e istituzioni collegati all’UICI</w:t>
            </w:r>
          </w:p>
        </w:tc>
        <w:tc>
          <w:tcPr>
            <w:tcW w:w="75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2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FAD / dibattito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1.B</w:t>
            </w:r>
          </w:p>
        </w:tc>
        <w:tc>
          <w:tcPr>
            <w:tcW w:w="583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Ausili per le persone cieche e ipovedenti</w:t>
            </w:r>
          </w:p>
        </w:tc>
        <w:tc>
          <w:tcPr>
            <w:tcW w:w="75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3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FAD / dibattito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2.C</w:t>
            </w:r>
          </w:p>
        </w:tc>
        <w:tc>
          <w:tcPr>
            <w:tcW w:w="583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Ausili tiflodidattici</w:t>
            </w:r>
          </w:p>
        </w:tc>
        <w:tc>
          <w:tcPr>
            <w:tcW w:w="75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2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FAD / dibattito</w:t>
            </w:r>
          </w:p>
        </w:tc>
      </w:tr>
      <w:tr>
        <w:trPr/>
        <w:tc>
          <w:tcPr>
            <w:tcW w:w="762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5.C</w:t>
            </w:r>
          </w:p>
        </w:tc>
        <w:tc>
          <w:tcPr>
            <w:tcW w:w="583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Sistema di lettura e scrittura Braille e ausili tifloinformatici applicati</w:t>
            </w:r>
          </w:p>
        </w:tc>
        <w:tc>
          <w:tcPr>
            <w:tcW w:w="750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it-IT"/>
              </w:rPr>
            </w:pPr>
            <w:r>
              <w:rPr>
                <w:sz w:val="17"/>
                <w:lang w:val="it-IT"/>
              </w:rPr>
              <w:t>32</w:t>
            </w:r>
          </w:p>
        </w:tc>
        <w:tc>
          <w:tcPr>
            <w:tcW w:w="2819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In presenza / esercitazioni pratiche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  <w:t>Le metodologie previste comprendono lezioni frontali, formazione a distanza, dibattiti, esercitazioni, cooperative learning e didattica laboratoriale, con l’impiego di strumenti digitali, ausili tiflotecnici e tifloinformatici.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keepNext w:val="true"/>
        <w:pBdr>
          <w:bottom w:val="single" w:sz="2" w:space="0" w:color="1F4E79"/>
        </w:pBdr>
        <w:shd w:val="clear" w:color="auto" w:fill="1F4E79"/>
        <w:spacing w:before="180" w:after="80"/>
        <w:rPr>
          <w:lang w:val="it-IT"/>
        </w:rPr>
      </w:pPr>
      <w:r>
        <w:rPr>
          <w:b/>
          <w:color w:val="FFFFFF"/>
          <w:sz w:val="22"/>
          <w:lang w:val="it-IT"/>
        </w:rPr>
        <w:t xml:space="preserve"> </w:t>
      </w:r>
      <w:r>
        <w:rPr>
          <w:b/>
          <w:color w:val="FFFFFF"/>
          <w:sz w:val="22"/>
          <w:lang w:val="it-IT"/>
        </w:rPr>
        <w:t>ULTERIORI MISURE A FAVORE DEI GIOVANI</w:t>
      </w:r>
    </w:p>
    <w:p>
      <w:pPr>
        <w:pStyle w:val="Normal"/>
        <w:rPr>
          <w:lang w:val="it-IT"/>
        </w:rPr>
      </w:pPr>
      <w:r>
        <w:rPr>
          <w:b/>
          <w:sz w:val="20"/>
          <w:szCs w:val="20"/>
          <w:lang w:val="it-IT"/>
        </w:rPr>
        <w:t xml:space="preserve">SVOLGIMENTO DI UN PERIODO DI TUTORAGGIO </w:t>
      </w:r>
    </w:p>
    <w:p>
      <w:pPr>
        <w:pStyle w:val="Normal"/>
        <w:rPr>
          <w:lang w:val="it-IT"/>
        </w:rPr>
      </w:pPr>
      <w:r>
        <w:rPr>
          <w:b/>
          <w:lang w:val="it-IT"/>
        </w:rPr>
        <w:t xml:space="preserve">Periodo di tutoraggio: </w:t>
      </w:r>
      <w:r>
        <w:rPr>
          <w:lang w:val="it-IT"/>
        </w:rPr>
        <w:t>previsto per tutti gli operatori volontari, si svolgerà negli ultimi tre mesi del progetto e avrà una durata complessiva di 22 ore per ciascun partecipante.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4900" w:type="pct"/>
        <w:jc w:val="center"/>
        <w:tblInd w:w="0" w:type="dxa"/>
        <w:tblLayout w:type="fixed"/>
        <w:tblCellMar>
          <w:top w:w="70" w:type="dxa"/>
          <w:left w:w="80" w:type="dxa"/>
          <w:bottom w:w="70" w:type="dxa"/>
          <w:right w:w="80" w:type="dxa"/>
        </w:tblCellMar>
        <w:tblLook w:firstRow="1" w:noVBand="1" w:lastRow="0" w:firstColumn="1" w:lastColumn="0" w:noHBand="0" w:val="04a0"/>
      </w:tblPr>
      <w:tblGrid>
        <w:gridCol w:w="1935"/>
        <w:gridCol w:w="8226"/>
      </w:tblGrid>
      <w:tr>
        <w:trPr>
          <w:tblHeader w:val="true"/>
          <w:trHeight w:val="323" w:hRule="atLeast"/>
        </w:trPr>
        <w:tc>
          <w:tcPr>
            <w:tcW w:w="1935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Articolazione</w:t>
            </w:r>
          </w:p>
        </w:tc>
        <w:tc>
          <w:tcPr>
            <w:tcW w:w="822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1F4E7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color w:val="FFFFFF"/>
                <w:sz w:val="17"/>
                <w:lang w:val="it-IT"/>
              </w:rPr>
              <w:t>Durata e modalità</w:t>
            </w:r>
          </w:p>
        </w:tc>
      </w:tr>
      <w:tr>
        <w:trPr>
          <w:trHeight w:val="586" w:hRule="atLeast"/>
        </w:trPr>
        <w:tc>
          <w:tcPr>
            <w:tcW w:w="1935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Attività collettive</w:t>
            </w:r>
          </w:p>
        </w:tc>
        <w:tc>
          <w:tcPr>
            <w:tcW w:w="822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17 ore: 10 ore online in modalità sincrona e 7 ore in presenza</w:t>
            </w:r>
          </w:p>
        </w:tc>
      </w:tr>
      <w:tr>
        <w:trPr>
          <w:trHeight w:val="586" w:hRule="atLeast"/>
        </w:trPr>
        <w:tc>
          <w:tcPr>
            <w:tcW w:w="1935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Attività individuali</w:t>
            </w:r>
          </w:p>
        </w:tc>
        <w:tc>
          <w:tcPr>
            <w:tcW w:w="822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5 ore di colloqui individuali in presenza</w:t>
            </w:r>
          </w:p>
        </w:tc>
      </w:tr>
      <w:tr>
        <w:trPr>
          <w:trHeight w:val="586" w:hRule="atLeast"/>
        </w:trPr>
        <w:tc>
          <w:tcPr>
            <w:tcW w:w="1935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Fasi del percorso</w:t>
            </w:r>
          </w:p>
        </w:tc>
        <w:tc>
          <w:tcPr>
            <w:tcW w:w="822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Accoglienza e analisi dell’orientamento; definizione dell’obiettivo professionale; orientamento alla ricerca del lavoro; approfondimento individuale e piano d’azione personalizzato.</w:t>
            </w:r>
          </w:p>
        </w:tc>
      </w:tr>
      <w:tr>
        <w:trPr>
          <w:trHeight w:val="586" w:hRule="atLeast"/>
        </w:trPr>
        <w:tc>
          <w:tcPr>
            <w:tcW w:w="1935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Attività principali</w:t>
            </w:r>
          </w:p>
        </w:tc>
        <w:tc>
          <w:tcPr>
            <w:tcW w:w="822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shd w:color="auto" w:fill="EEF5FA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Autovalutazione delle competenze acquisite nel SCU; redazione del curriculum; preparazione ai colloqui; tecniche di ricerca attiva del lavoro; conoscenza dei Centri per l’Impiego e dei servizi pubblici e privati; potenziamento delle competenze trasversali; accompagnamento al mercato del lavoro.</w:t>
            </w:r>
          </w:p>
        </w:tc>
      </w:tr>
      <w:tr>
        <w:trPr>
          <w:trHeight w:val="586" w:hRule="atLeast"/>
        </w:trPr>
        <w:tc>
          <w:tcPr>
            <w:tcW w:w="1935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b/>
                <w:sz w:val="17"/>
                <w:lang w:val="it-IT"/>
              </w:rPr>
              <w:t>Metodologie</w:t>
            </w:r>
          </w:p>
        </w:tc>
        <w:tc>
          <w:tcPr>
            <w:tcW w:w="8226" w:type="dxa"/>
            <w:tcBorders>
              <w:top w:val="single" w:sz="4" w:space="0" w:color="9FBAD0"/>
              <w:left w:val="single" w:sz="4" w:space="0" w:color="9FBAD0"/>
              <w:bottom w:val="single" w:sz="4" w:space="0" w:color="9FBAD0"/>
              <w:right w:val="single" w:sz="4" w:space="0" w:color="9FBAD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it-IT"/>
              </w:rPr>
            </w:pPr>
            <w:r>
              <w:rPr>
                <w:sz w:val="17"/>
                <w:lang w:val="it-IT"/>
              </w:rPr>
              <w:t>Lezioni frontali, studio di casi, lavori di gruppo, simulazioni, apprendimento cooperativo e colloqui individuali.</w:t>
            </w:r>
          </w:p>
        </w:tc>
      </w:tr>
    </w:tbl>
    <w:p>
      <w:pPr>
        <w:pStyle w:val="Normal"/>
        <w:spacing w:before="0" w:after="0"/>
        <w:rPr>
          <w:b/>
          <w:b/>
          <w:color w:val="1F4E79"/>
          <w:lang w:val="it-IT"/>
        </w:rPr>
      </w:pPr>
      <w:r>
        <w:rPr>
          <w:b/>
          <w:color w:val="1F4E79"/>
          <w:lang w:val="it-IT"/>
        </w:rPr>
      </w:r>
    </w:p>
    <w:p>
      <w:pPr>
        <w:pStyle w:val="Normal"/>
        <w:spacing w:before="0" w:after="0"/>
        <w:rPr>
          <w:b/>
          <w:b/>
          <w:color w:val="1F4E79"/>
          <w:lang w:val="it-IT"/>
        </w:rPr>
      </w:pPr>
      <w:r>
        <w:rPr>
          <w:b/>
          <w:color w:val="1F4E79"/>
          <w:lang w:val="it-IT"/>
        </w:rPr>
      </w:r>
    </w:p>
    <w:p>
      <w:pPr>
        <w:pStyle w:val="Normal"/>
        <w:spacing w:before="0" w:after="0"/>
        <w:rPr>
          <w:b/>
          <w:b/>
          <w:color w:val="1F4E79"/>
          <w:lang w:val="it-IT"/>
        </w:rPr>
      </w:pPr>
      <w:r>
        <w:rPr>
          <w:b/>
          <w:color w:val="1F4E79"/>
          <w:lang w:val="it-IT"/>
        </w:rPr>
        <w:t>Informazioni sull’ente:</w:t>
      </w:r>
    </w:p>
    <w:p>
      <w:pPr>
        <w:pStyle w:val="Normal"/>
        <w:spacing w:before="0" w:after="0"/>
        <w:rPr>
          <w:lang w:val="it-IT"/>
        </w:rPr>
      </w:pPr>
      <w:r>
        <w:rPr>
          <w:lang w:val="it-IT"/>
        </w:rPr>
      </w:r>
    </w:p>
    <w:p>
      <w:pPr>
        <w:pStyle w:val="Normal"/>
        <w:spacing w:before="0" w:after="0"/>
        <w:ind w:left="720" w:hanging="0"/>
        <w:rPr>
          <w:b/>
          <w:b/>
          <w:lang w:val="it-IT"/>
        </w:rPr>
      </w:pPr>
      <w:r>
        <w:rPr>
          <w:b/>
          <w:lang w:val="it-IT"/>
        </w:rPr>
        <w:t>Unione Italiana dei Ciechi e degli Ipovedenti ETS-APS – Sezione Territoriale di Agrigento</w:t>
      </w:r>
    </w:p>
    <w:p>
      <w:pPr>
        <w:pStyle w:val="Normal"/>
        <w:spacing w:before="0" w:after="0"/>
        <w:ind w:left="720" w:hanging="0"/>
        <w:rPr>
          <w:lang w:val="it-IT"/>
        </w:rPr>
      </w:pPr>
      <w:r>
        <w:rPr>
          <w:lang w:val="it-IT"/>
        </w:rPr>
        <w:t>Via Imera, 280 – 92100 Agrigento</w:t>
      </w:r>
    </w:p>
    <w:p>
      <w:pPr>
        <w:pStyle w:val="Normal"/>
        <w:spacing w:before="0" w:after="0"/>
        <w:ind w:left="720" w:hanging="0"/>
        <w:rPr>
          <w:lang w:val="it-IT"/>
        </w:rPr>
      </w:pPr>
      <w:r>
        <w:rPr>
          <w:lang w:val="it-IT"/>
        </w:rPr>
        <w:t>Tel. 0922 605724 – 0922 605725</w:t>
      </w:r>
    </w:p>
    <w:p>
      <w:pPr>
        <w:pStyle w:val="Normal"/>
        <w:spacing w:before="0" w:after="0"/>
        <w:ind w:left="720" w:hanging="0"/>
        <w:rPr>
          <w:lang w:val="it-IT"/>
        </w:rPr>
      </w:pPr>
      <w:r>
        <w:rPr>
          <w:lang w:val="it-IT"/>
        </w:rPr>
        <w:t xml:space="preserve">E-mail: </w:t>
      </w:r>
      <w:hyperlink r:id="rId3">
        <w:r>
          <w:rPr>
            <w:rStyle w:val="CollegamentoInternet"/>
            <w:lang w:val="it-IT"/>
          </w:rPr>
          <w:t>uicag@uici.it</w:t>
        </w:r>
      </w:hyperlink>
    </w:p>
    <w:p>
      <w:pPr>
        <w:pStyle w:val="Normal"/>
        <w:spacing w:before="0" w:after="0"/>
        <w:ind w:left="720" w:hanging="0"/>
        <w:rPr>
          <w:lang w:val="it-IT"/>
        </w:rPr>
      </w:pPr>
      <w:r>
        <w:rPr>
          <w:lang w:val="it-IT"/>
        </w:rPr>
        <w:t xml:space="preserve">PEC: </w:t>
      </w:r>
      <w:hyperlink r:id="rId4">
        <w:r>
          <w:rPr>
            <w:rStyle w:val="CollegamentoInternet"/>
            <w:lang w:val="it-IT"/>
          </w:rPr>
          <w:t>uicag@pecimpresa.it</w:t>
        </w:r>
      </w:hyperlink>
      <w:r>
        <w:rPr>
          <w:lang w:val="it-IT"/>
        </w:rPr>
        <w:t xml:space="preserve"> </w:t>
      </w:r>
    </w:p>
    <w:sectPr>
      <w:type w:val="nextPage"/>
      <w:pgSz w:w="12240" w:h="15840"/>
      <w:pgMar w:left="935" w:right="935" w:gutter="0" w:header="0" w:top="879" w:footer="0" w:bottom="8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3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59" w:before="0" w:after="70"/>
      <w:jc w:val="both"/>
    </w:pPr>
    <w:rPr>
      <w:rFonts w:ascii="Arial" w:hAnsi="Arial" w:eastAsia="Arial" w:cs=""/>
      <w:color w:val="243447"/>
      <w:kern w:val="0"/>
      <w:sz w:val="20"/>
      <w:szCs w:val="22"/>
      <w:lang w:val="en-US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Cs w:val="20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e618bf"/>
    <w:rPr/>
  </w:style>
  <w:style w:type="character" w:styleId="PidipaginaCarattere" w:customStyle="1">
    <w:name w:val="Piè di pagina Carattere"/>
    <w:basedOn w:val="DefaultParagraphFont"/>
    <w:uiPriority w:val="99"/>
    <w:qFormat/>
    <w:rsid w:val="00e618bf"/>
    <w:rPr/>
  </w:style>
  <w:style w:type="character" w:styleId="Titolo1Carattere" w:customStyle="1">
    <w:name w:val="Titolo 1 Carattere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oloCarattere" w:customStyle="1">
    <w:name w:val="Titolo Carattere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ottotitoloCarattere" w:customStyle="1">
    <w:name w:val="Sottotitolo Carattere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testoCarattere" w:customStyle="1">
    <w:name w:val="Corpo testo Carattere"/>
    <w:basedOn w:val="DefaultParagraphFont"/>
    <w:uiPriority w:val="99"/>
    <w:qFormat/>
    <w:rsid w:val="00aa1d8d"/>
    <w:rPr/>
  </w:style>
  <w:style w:type="character" w:styleId="Corpodeltesto2Carattere" w:customStyle="1">
    <w:name w:val="Corpo del testo 2 Carattere"/>
    <w:basedOn w:val="DefaultParagraphFont"/>
    <w:link w:val="BodyText2"/>
    <w:uiPriority w:val="99"/>
    <w:qFormat/>
    <w:rsid w:val="00aa1d8d"/>
    <w:rPr/>
  </w:style>
  <w:style w:type="character" w:styleId="Corpodeltesto3Carattere" w:customStyle="1">
    <w:name w:val="Corpo del testo 3 Carattere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stomacroCarattere" w:customStyle="1">
    <w:name w:val="Testo macro Carattere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nfasi">
    <w:name w:val="Emphasis"/>
    <w:basedOn w:val="DefaultParagraphFont"/>
    <w:uiPriority w:val="20"/>
    <w:qFormat/>
    <w:rsid w:val="00fc693f"/>
    <w:rPr>
      <w:i/>
      <w:iCs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CollegamentoInternet">
    <w:name w:val="Hyperlink"/>
    <w:basedOn w:val="DefaultParagraphFont"/>
    <w:uiPriority w:val="99"/>
    <w:unhideWhenUsed/>
    <w:rsid w:val="00543e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43e35"/>
    <w:rPr>
      <w:color w:val="605E5C"/>
      <w:shd w:fill="E1DFDD" w:val="clear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5e7421"/>
    <w:rPr>
      <w:color w:val="800080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unhideWhenUsed/>
    <w:rsid w:val="00aa1d8d"/>
    <w:pPr>
      <w:spacing w:before="0" w:after="120"/>
    </w:pPr>
    <w:rPr/>
  </w:style>
  <w:style w:type="paragraph" w:styleId="Elenco">
    <w:name w:val="List"/>
    <w:basedOn w:val="Normal"/>
    <w:uiPriority w:val="99"/>
    <w:unhideWhenUsed/>
    <w:rsid w:val="00aa1d8d"/>
    <w:pPr>
      <w:spacing w:before="0" w:after="70"/>
      <w:ind w:left="360" w:hanging="360"/>
      <w:contextualSpacing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70"/>
      <w:ind w:left="720" w:hanging="0"/>
      <w:contextualSpacing/>
    </w:pPr>
    <w:rPr/>
  </w:style>
  <w:style w:type="paragraph" w:styleId="BodyText2">
    <w:name w:val="Body Text 2"/>
    <w:basedOn w:val="Normal"/>
    <w:link w:val="Corpodeltesto2Carattere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ltesto3Carattere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7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7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7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7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7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7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7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stomacroCarattere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zioneCarattere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SubtitleUICI" w:customStyle="1">
    <w:name w:val="SubtitleUICI"/>
    <w:qFormat/>
    <w:pPr>
      <w:widowControl/>
      <w:suppressAutoHyphens w:val="true"/>
      <w:bidi w:val="0"/>
      <w:spacing w:lineRule="auto" w:line="276" w:before="0" w:after="60"/>
      <w:jc w:val="center"/>
    </w:pPr>
    <w:rPr>
      <w:rFonts w:ascii="Arial" w:hAnsi="Arial" w:eastAsia="ＭＳ 明朝" w:cs=""/>
      <w:b/>
      <w:color w:val="1F4E79"/>
      <w:kern w:val="0"/>
      <w:sz w:val="20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iciechi.it/serviziocivile/Reclutamento.pdf" TargetMode="External"/><Relationship Id="rId3" Type="http://schemas.openxmlformats.org/officeDocument/2006/relationships/hyperlink" Target="mailto:uicag@uici.it" TargetMode="External"/><Relationship Id="rId4" Type="http://schemas.openxmlformats.org/officeDocument/2006/relationships/hyperlink" Target="mailto:uicag@pecimpresa.i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LibreOffice/7.4.2.3$Windows_X86_64 LibreOffice_project/382eef1f22670f7f4118c8c2dd222ec7ad009daf</Application>
  <AppVersion>15.0000</AppVersion>
  <Pages>5</Pages>
  <Words>1582</Words>
  <Characters>10280</Characters>
  <CharactersWithSpaces>11661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Unione Italiana dei Ciechi e degli Ipovedenti ETS-APS - Sezione Territoriale di Agrigento</dc:creator>
  <dc:description>generated by python-docx</dc:description>
  <cp:keywords>Servizio Civile Universale UICI art. 40 ciechi civili Agrigento</cp:keywords>
  <dc:language>it-IT</dc:language>
  <cp:lastModifiedBy/>
  <dcterms:modified xsi:type="dcterms:W3CDTF">2026-06-25T19:18:49Z</dcterms:modified>
  <cp:revision>13</cp:revision>
  <dc:subject>Servizio Civile Universale - Art. 40 L. 289/2002</dc:subject>
  <dc:title>Scheda sintetica progetto Muoversi insieme - Agrigento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