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 xml:space="preserve">Il profumo della libertà art. 40 L.289 - Catania </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Il progetto si rivolge ai minorati della vista che possono usufruire dell’accompagnatore in servizio civile di cui all’art. 40, della legge 27 dicembre 2002, n. 289. In particolare:</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w:t>
        <w:tab/>
        <w:t>i ciechi civili che svolgono una attività lavorativa (sia in caso di lavoro dipendente che di lavoro autonomo)</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w:t>
        <w:tab/>
        <w:t>i ciechi civili che svolgono una attività sociale;</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w:t>
        <w:tab/>
        <w:t>i ciechi civili che abbiano necessità dell’accompagnamento per motivi sanitari (la predetta necessità è certificata dal medico di famiglia).</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Il progetto si prefigge di risolvere i problemi di accompagnamento di persone non vedenti o gravemente ipovedenti, le quali, per motivi di lavoro, di attività sociali o per necessità terapeutiche, devono quotidianamente uscire di casa per andare dove abbisognano, utilizzando i mezzi pubblici o anche mezzi privati (a tal fine sarà tenuto in considerazione il requisito del possesso della patente auto). Per tali esigenze, occorre che il volontario sia disponibile a concordare orari di servizio adeguati a dette esigenze.</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 xml:space="preserve">Il minorato della vista potrà concordare con il volontario di svolgere il servizio fuori dall’orario ordinario; in tali casi le ore di servizio in esubero verranno recuperate nei giorni immediatamente a seguire. </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Al volontario, in casi particolari, potrà essere richiesto di svolgere il proprio servizio anche in giorni festivi e per effettuare trasferte fuori porta (si pensi al non vedente che deve partecipare ad eventi o iniziative presso comuni diversi di quelli di residenza); anche in tali casi le ore di servizio in esubero verranno recuperate nei giorni immediatamente a seguire</w:t>
      </w:r>
    </w:p>
    <w:p>
      <w:pPr>
        <w:pStyle w:val="Normal"/>
        <w:widowControl/>
        <w:tabs>
          <w:tab w:val="clear" w:pos="720"/>
          <w:tab w:val="left" w:pos="744" w:leader="none"/>
        </w:tabs>
        <w:suppressAutoHyphens w:val="true"/>
        <w:bidi w:val="0"/>
        <w:spacing w:lineRule="auto" w:line="276" w:before="0" w:after="0"/>
        <w:ind w:left="1134" w:right="0" w:hanging="0"/>
        <w:jc w:val="both"/>
        <w:rPr/>
      </w:pPr>
      <w:r>
        <w:rPr>
          <w:rFonts w:eastAsia="Times New Roman"/>
          <w:sz w:val="23"/>
          <w:szCs w:val="23"/>
        </w:rPr>
        <w:t>Ai volontari sono assegnati orari di servizio tali da corrispondere alla quantità ed alla qualità delle richieste. Il servizio si esplica dal lunedì al sabato mattina ed, eccezionalmente, previo assenso dei volontari, il sabato pomeriggio ed anche la domenica, in occasione di terapie indifferibili (chemioterapia, dialisi ecc.), per assemblee ed altre attività di interesse del richiedente.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firstLine="57"/>
        <w:jc w:val="both"/>
        <w:rPr/>
      </w:pPr>
      <w:r>
        <w:rPr>
          <w:rFonts w:eastAsia="Times New Roman"/>
          <w:sz w:val="23"/>
          <w:szCs w:val="23"/>
        </w:rPr>
        <w:t>Attraverso la presenza dei volontari presso la sede di attuazione del progetto gli stessi  avranno modo di vivere, anche confrontarsi con il proprio OLP, situazioni di forte valenza formativa, di riflettere sul valore della solidarietà civile, dell’aiuto reciproco e delle pari opportunità, principi sanciti dall’ordinamento costituzionale, la cui difesa coincide quindi con la difesa alternativa (e non violenta) della Patria. Altresì, gli stessi giovani, avranno modo di conoscere le più importanti realtà territoriali nell’ambito del III settore (comprese le istituzioni) e poter vivere situazioni che stimolano lo spirito di iniziativa e di responsabilità, gestendo in modo autonomo e creativo la promozione del Servizio Civile Nazionale e dei valori e principi inerenti, con azioni concrete.</w:t>
      </w:r>
      <w:r>
        <w:rPr>
          <w:rFonts w:eastAsia="Times New Roman"/>
          <w:b/>
          <w:sz w:val="23"/>
          <w:szCs w:val="23"/>
        </w:rPr>
        <w:t xml:space="preserve"> </w:t>
      </w:r>
    </w:p>
    <w:p>
      <w:pPr>
        <w:pStyle w:val="Normal"/>
        <w:widowControl/>
        <w:tabs>
          <w:tab w:val="clear" w:pos="720"/>
          <w:tab w:val="left" w:pos="744" w:leader="none"/>
        </w:tabs>
        <w:suppressAutoHyphens w:val="true"/>
        <w:bidi w:val="0"/>
        <w:spacing w:lineRule="auto" w:line="276" w:before="0" w:after="0"/>
        <w:ind w:left="0" w:right="0" w:firstLine="57"/>
        <w:jc w:val="both"/>
        <w:rPr/>
      </w:pPr>
      <w:r>
        <w:rPr>
          <w:rFonts w:eastAsia="Times New Roman"/>
          <w:sz w:val="23"/>
          <w:szCs w:val="23"/>
        </w:rPr>
        <w:t>Nell’attuazione dell’intervento progettuale qui proposto è deciso proposito della Scrivente attribuire la stessa valenza e lo stesso carattere di priorità e importanza, sia alla dimensione assistenziale (dei disabili sensoriali della vista) che a quella formativa (dei Volontari S.C.N. impiegati nei servizi e nelle attività previste).</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b/>
                <w:bCs/>
                <w:color w:val="000000"/>
                <w:sz w:val="26"/>
                <w:szCs w:val="26"/>
              </w:rPr>
              <w:t>HELIOS</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b/>
                <w:bCs/>
              </w:rPr>
            </w:pPr>
            <w:r>
              <w:rPr>
                <w:rFonts w:eastAsia="Times New Roman"/>
                <w:b/>
                <w:bCs/>
                <w:szCs w:val="24"/>
              </w:rPr>
              <w:t xml:space="preserve">Unione Italiana dei Ciechi e degli Ipovedenti ETS-APS    Sezione territoriale di Catania   Via  Louis Braille n. 6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b/>
                <w:bCs/>
              </w:rPr>
            </w:pPr>
            <w:r>
              <w:rPr>
                <w:rFonts w:eastAsia="Times New Roman"/>
                <w:b/>
                <w:bCs/>
                <w:szCs w:val="24"/>
              </w:rPr>
              <w:t>cap. 95125 - Catania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Tel.:095/333380 e-mail: uicct@uiciechi.it -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pec: </w:t>
            </w:r>
            <w:hyperlink r:id="rId3">
              <w:r>
                <w:rPr>
                  <w:rStyle w:val="CollegamentoInternet"/>
                  <w:b/>
                  <w:bCs/>
                </w:rPr>
                <w:t>sezione@pec.uiccatania.it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27</w:t>
            </w:r>
          </w:p>
          <w:p>
            <w:pPr>
              <w:pStyle w:val="Contenutotabella"/>
              <w:widowControl w:val="false"/>
              <w:bidi w:val="0"/>
              <w:jc w:val="center"/>
              <w:rPr>
                <w:b/>
                <w:b/>
                <w:bCs/>
              </w:rPr>
            </w:pPr>
            <w:r>
              <w:rPr>
                <w:b/>
                <w:bCs/>
                <w:sz w:val="26"/>
                <w:szCs w:val="26"/>
              </w:rPr>
              <w:t>SENZA VITTO NÈ ALLOGGIO</w:t>
            </w:r>
          </w:p>
        </w:tc>
      </w:tr>
      <w:tr>
        <w:trPr/>
        <w:tc>
          <w:tcPr>
            <w:tcW w:w="5846" w:type="dxa"/>
            <w:tcBorders>
              <w:left w:val="single" w:sz="4" w:space="0" w:color="000000"/>
              <w:bottom w:val="single" w:sz="4" w:space="0" w:color="000000"/>
            </w:tcBorders>
          </w:tcPr>
          <w:p>
            <w:pPr>
              <w:pStyle w:val="Normal"/>
              <w:widowControl w:val="false"/>
              <w:spacing w:lineRule="auto" w:line="240" w:before="0" w:after="0"/>
              <w:jc w:val="left"/>
              <w:rPr>
                <w:b/>
                <w:b/>
                <w:bCs/>
                <w:kern w:val="0"/>
                <w:sz w:val="24"/>
                <w:szCs w:val="24"/>
                <w:lang w:val="it-IT" w:bidi="ar-SA"/>
              </w:rPr>
            </w:pPr>
            <w:r>
              <w:rPr>
                <w:rFonts w:eastAsia="Times New Roman" w:cs="" w:asciiTheme="majorBidi" w:cstheme="majorBidi" w:hAnsiTheme="majorBidi"/>
                <w:b/>
                <w:bCs/>
                <w:kern w:val="0"/>
                <w:sz w:val="24"/>
                <w:szCs w:val="24"/>
                <w:lang w:val="it-IT" w:eastAsia="it-IT" w:bidi="ar-SA"/>
              </w:rPr>
              <w:t xml:space="preserve">Unione Italiana dei Ciechi e degli Ipovedenti ETS-APS Rappresentanza  di GIARRE (CT) </w:t>
            </w:r>
          </w:p>
          <w:p>
            <w:pPr>
              <w:pStyle w:val="Normal"/>
              <w:widowControl w:val="false"/>
              <w:spacing w:lineRule="auto" w:line="240" w:before="0" w:after="0"/>
              <w:jc w:val="left"/>
              <w:rPr>
                <w:b/>
                <w:b/>
                <w:bCs/>
                <w:kern w:val="0"/>
                <w:sz w:val="24"/>
                <w:szCs w:val="24"/>
                <w:lang w:val="it-IT" w:bidi="ar-SA"/>
              </w:rPr>
            </w:pPr>
            <w:r>
              <w:rPr>
                <w:rFonts w:eastAsia="Times New Roman" w:cs="" w:asciiTheme="majorBidi" w:cstheme="majorBidi" w:hAnsiTheme="majorBidi"/>
                <w:b/>
                <w:bCs/>
                <w:kern w:val="0"/>
                <w:sz w:val="24"/>
                <w:szCs w:val="24"/>
                <w:lang w:val="it-IT" w:eastAsia="it-IT" w:bidi="ar-SA"/>
              </w:rPr>
              <w:t>Piazza Macherione, 1</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N. 6</w:t>
            </w:r>
          </w:p>
          <w:p>
            <w:pPr>
              <w:pStyle w:val="Contenutotabella"/>
              <w:widowControl w:val="false"/>
              <w:bidi w:val="0"/>
              <w:jc w:val="center"/>
              <w:rPr>
                <w:b/>
                <w:b/>
                <w:bCs/>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tbl>
      <w:tblPr>
        <w:tblW w:w="10348" w:type="dxa"/>
        <w:jc w:val="left"/>
        <w:tblInd w:w="-147" w:type="dxa"/>
        <w:tblLayout w:type="fixed"/>
        <w:tblCellMar>
          <w:top w:w="0" w:type="dxa"/>
          <w:left w:w="70" w:type="dxa"/>
          <w:bottom w:w="0" w:type="dxa"/>
          <w:right w:w="70" w:type="dxa"/>
        </w:tblCellMar>
        <w:tblLook w:firstRow="0" w:noVBand="0" w:lastRow="0" w:firstColumn="0" w:lastColumn="0" w:noHBand="0" w:val="0000"/>
      </w:tblPr>
      <w:tblGrid>
        <w:gridCol w:w="10348"/>
      </w:tblGrid>
      <w:tr>
        <w:trPr>
          <w:trHeight w:val="12474" w:hRule="atLeast"/>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1"/>
              </w:numPr>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1"/>
              </w:numPr>
              <w:spacing w:lineRule="auto" w:line="240" w:before="0" w:after="0"/>
              <w:ind w:left="72" w:hanging="0"/>
              <w:jc w:val="both"/>
              <w:rPr>
                <w:sz w:val="22"/>
                <w:szCs w:val="22"/>
              </w:rPr>
            </w:pPr>
            <w:r>
              <w:rPr>
                <w:sz w:val="22"/>
                <w:szCs w:val="22"/>
              </w:rPr>
              <w:t>Colloquio personale</w:t>
            </w:r>
          </w:p>
          <w:p>
            <w:pPr>
              <w:pStyle w:val="Normal"/>
              <w:widowControl w:val="false"/>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ind w:left="72" w:hanging="0"/>
              <w:rPr>
                <w:iCs/>
                <w:sz w:val="22"/>
                <w:szCs w:val="22"/>
              </w:rPr>
            </w:pPr>
            <w:r>
              <w:rPr>
                <w:iCs/>
                <w:sz w:val="22"/>
                <w:szCs w:val="22"/>
              </w:rPr>
              <w:t>Per ognuna delle variabili sono stati specificati gli indicatori di riferimento ed i valori (punteggi) attribuibili a ciascuno.</w:t>
            </w:r>
          </w:p>
          <w:p>
            <w:pPr>
              <w:pStyle w:val="Normal"/>
              <w:widowControl w:val="false"/>
              <w:ind w:left="72" w:hanging="0"/>
              <w:jc w:val="both"/>
              <w:rPr>
                <w:b/>
                <w:b/>
                <w:iCs/>
                <w:sz w:val="22"/>
                <w:szCs w:val="22"/>
                <w:u w:val="single"/>
              </w:rPr>
            </w:pPr>
            <w:r>
              <w:rPr>
                <w:b/>
                <w:iCs/>
                <w:sz w:val="22"/>
                <w:szCs w:val="22"/>
                <w:u w:val="single"/>
              </w:rPr>
              <w:t>ANALISI DOCUMENTALE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6"/>
              <w:gridCol w:w="6477"/>
              <w:gridCol w:w="1705"/>
            </w:tblGrid>
            <w:tr>
              <w:trPr>
                <w:tblHeader w:val="true"/>
              </w:trPr>
              <w:tc>
                <w:tcPr>
                  <w:tcW w:w="2166"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5"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6"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Titolo di Studio</w:t>
                  </w:r>
                </w:p>
                <w:p>
                  <w:pPr>
                    <w:pStyle w:val="Normal"/>
                    <w:widowControl w:val="false"/>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05"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6"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attinente il progetto</w:t>
                  </w:r>
                </w:p>
              </w:tc>
              <w:tc>
                <w:tcPr>
                  <w:tcW w:w="1705"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6"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05"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6"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05"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6"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05"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6"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attinente il progetto</w:t>
                  </w:r>
                </w:p>
              </w:tc>
              <w:tc>
                <w:tcPr>
                  <w:tcW w:w="1705" w:type="dxa"/>
                  <w:tcBorders>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Titoli professionali</w:t>
                  </w:r>
                </w:p>
                <w:p>
                  <w:pPr>
                    <w:pStyle w:val="Normal"/>
                    <w:widowControl w:val="false"/>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05"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05"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05"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05"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c>
                <w:tcPr>
                  <w:tcW w:w="2166"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spacing w:before="0" w:after="60"/>
                    <w:ind w:left="72" w:hanging="0"/>
                    <w:jc w:val="left"/>
                    <w:rPr>
                      <w:iCs/>
                      <w:sz w:val="20"/>
                      <w:szCs w:val="20"/>
                    </w:rPr>
                  </w:pPr>
                  <w:r>
                    <w:rPr>
                      <w:iCs/>
                      <w:kern w:val="0"/>
                      <w:sz w:val="20"/>
                      <w:szCs w:val="20"/>
                      <w:lang w:val="it-IT" w:bidi="ar-SA"/>
                    </w:rPr>
                    <w:t>(es. patente ECDL)</w:t>
                  </w:r>
                </w:p>
              </w:tc>
              <w:tc>
                <w:tcPr>
                  <w:tcW w:w="1705"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w:t>
                  </w:r>
                </w:p>
                <w:p>
                  <w:pPr>
                    <w:pStyle w:val="Normal"/>
                    <w:widowControl w:val="false"/>
                    <w:spacing w:before="60" w:after="60"/>
                    <w:ind w:left="72" w:hanging="0"/>
                    <w:jc w:val="center"/>
                    <w:rPr>
                      <w:iCs/>
                      <w:sz w:val="20"/>
                      <w:szCs w:val="20"/>
                    </w:rPr>
                  </w:pPr>
                  <w:r>
                    <w:rPr>
                      <w:iCs/>
                      <w:kern w:val="0"/>
                      <w:sz w:val="20"/>
                      <w:szCs w:val="20"/>
                      <w:lang w:val="it-IT" w:bidi="ar-SA"/>
                    </w:rPr>
                    <w:t>a 3 punti</w:t>
                  </w:r>
                </w:p>
              </w:tc>
            </w:tr>
            <w:tr>
              <w:trPr/>
              <w:tc>
                <w:tcPr>
                  <w:tcW w:w="2166"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05"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6"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Esperienze del volontario</w:t>
                  </w:r>
                </w:p>
                <w:p>
                  <w:pPr>
                    <w:pStyle w:val="Normal"/>
                    <w:widowControl w:val="false"/>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05" w:type="dxa"/>
                  <w:tcBorders>
                    <w:top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6"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05" w:type="dxa"/>
                  <w:tcBorders>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0,5 punti per mese</w:t>
                  </w:r>
                </w:p>
              </w:tc>
            </w:tr>
            <w:tr>
              <w:trPr/>
              <w:tc>
                <w:tcPr>
                  <w:tcW w:w="2166"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05" w:type="dxa"/>
                  <w:tcBorders>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0,2 punti per mese</w:t>
                  </w:r>
                </w:p>
              </w:tc>
            </w:tr>
            <w:tr>
              <w:trPr/>
              <w:tc>
                <w:tcPr>
                  <w:tcW w:w="2166"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05" w:type="dxa"/>
                  <w:tcBorders>
                    <w:top w:val="single" w:sz="12" w:space="0" w:color="000000"/>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fino a 3 punti</w:t>
                  </w:r>
                </w:p>
              </w:tc>
            </w:tr>
          </w:tbl>
          <w:p>
            <w:pPr>
              <w:pStyle w:val="Normal"/>
              <w:widowControl w:val="false"/>
              <w:ind w:left="72" w:hanging="0"/>
              <w:jc w:val="both"/>
              <w:rPr>
                <w:iCs/>
                <w:sz w:val="12"/>
                <w:szCs w:val="12"/>
              </w:rPr>
            </w:pPr>
            <w:r>
              <w:rPr>
                <w:iCs/>
                <w:sz w:val="12"/>
                <w:szCs w:val="12"/>
              </w:rPr>
            </w:r>
          </w:p>
          <w:p>
            <w:pPr>
              <w:pStyle w:val="Normal"/>
              <w:widowControl w:val="false"/>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ind w:left="72" w:hanging="0"/>
              <w:jc w:val="both"/>
              <w:rPr>
                <w:iCs/>
                <w:sz w:val="22"/>
                <w:szCs w:val="22"/>
              </w:rPr>
            </w:pPr>
            <w:r>
              <w:rPr>
                <w:iCs/>
                <w:sz w:val="22"/>
                <w:szCs w:val="22"/>
              </w:rPr>
            </w:r>
          </w:p>
          <w:p>
            <w:pPr>
              <w:pStyle w:val="Normal"/>
              <w:widowControl w:val="false"/>
              <w:ind w:left="72" w:hanging="0"/>
              <w:jc w:val="both"/>
              <w:rPr>
                <w:iCs/>
                <w:sz w:val="4"/>
                <w:szCs w:val="4"/>
              </w:rPr>
            </w:pPr>
            <w:r>
              <w:rPr>
                <w:iCs/>
                <w:sz w:val="4"/>
                <w:szCs w:val="4"/>
              </w:rPr>
            </w:r>
          </w:p>
          <w:p>
            <w:pPr>
              <w:pStyle w:val="Normal"/>
              <w:widowControl w:val="false"/>
              <w:ind w:left="72" w:hanging="0"/>
              <w:jc w:val="both"/>
              <w:rPr>
                <w:b/>
                <w:b/>
                <w:iCs/>
                <w:sz w:val="22"/>
                <w:szCs w:val="22"/>
                <w:u w:val="single"/>
              </w:rPr>
            </w:pPr>
            <w:r>
              <w:rPr>
                <w:b/>
                <w:iCs/>
                <w:sz w:val="22"/>
                <w:szCs w:val="22"/>
                <w:u w:val="single"/>
              </w:rPr>
              <w:t>COLLOQUIO DI VALUTAZIONE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6"/>
              <w:gridCol w:w="1705"/>
            </w:tblGrid>
            <w:tr>
              <w:trPr>
                <w:tblHeader w:val="true"/>
              </w:trPr>
              <w:tc>
                <w:tcPr>
                  <w:tcW w:w="30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5566"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5"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6"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05"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05"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Doti e abilità umane possedute dal candidato</w:t>
                  </w:r>
                </w:p>
              </w:tc>
              <w:tc>
                <w:tcPr>
                  <w:tcW w:w="1705"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relazionali e di comunicazione</w:t>
                  </w:r>
                </w:p>
              </w:tc>
              <w:tc>
                <w:tcPr>
                  <w:tcW w:w="1705"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6"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Servizio Civile Nazionale</w:t>
                  </w:r>
                </w:p>
              </w:tc>
              <w:tc>
                <w:tcPr>
                  <w:tcW w:w="1705"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progetto</w:t>
                  </w:r>
                </w:p>
              </w:tc>
              <w:tc>
                <w:tcPr>
                  <w:tcW w:w="1705"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Conoscenze Informatiche</w:t>
                  </w:r>
                </w:p>
              </w:tc>
              <w:tc>
                <w:tcPr>
                  <w:tcW w:w="1705"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di lettura (prova pratica)</w:t>
                  </w:r>
                </w:p>
              </w:tc>
              <w:tc>
                <w:tcPr>
                  <w:tcW w:w="1705"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6"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Pregresse esperienze di volontariato</w:t>
                  </w:r>
                </w:p>
              </w:tc>
              <w:tc>
                <w:tcPr>
                  <w:tcW w:w="1705"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05"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05"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6" w:type="dxa"/>
                  <w:tcBorders>
                    <w:bottom w:val="single" w:sz="12" w:space="0" w:color="000000"/>
                  </w:tcBorders>
                </w:tcPr>
                <w:p>
                  <w:pPr>
                    <w:pStyle w:val="Normal"/>
                    <w:widowControl w:val="false"/>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05"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bl>
          <w:p>
            <w:pPr>
              <w:pStyle w:val="Normal"/>
              <w:widowControl w:val="false"/>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ind w:left="72" w:hanging="0"/>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widowControl w:val="false"/>
        <w:bidi w:val="0"/>
        <w:ind w:left="72" w:hanging="0"/>
        <w:jc w:val="both"/>
        <w:rPr>
          <w:iCs/>
          <w:sz w:val="8"/>
          <w:szCs w:val="8"/>
          <w:u w:val="single"/>
        </w:rPr>
      </w:pPr>
      <w:r>
        <w:rPr>
          <w:iCs/>
          <w:sz w:val="8"/>
          <w:szCs w:val="8"/>
          <w:u w:val="single"/>
        </w:rPr>
      </w:r>
    </w:p>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sz w:val="22"/>
          <w:szCs w:val="22"/>
        </w:rPr>
      </w:pPr>
      <w:r>
        <w:rPr>
          <w:sz w:val="22"/>
          <w:szCs w:val="22"/>
        </w:rPr>
        <w:t>- ROMA – Presidenza Nazionale Unione Italiana dei Ciechi e degli Ipovedenti Via Borgognona n. 38 Cap. 00187 per la formazione svolta a distanza (FAD)</w:t>
      </w:r>
    </w:p>
    <w:p>
      <w:pPr>
        <w:pStyle w:val="Normal"/>
        <w:spacing w:before="0" w:after="29"/>
        <w:rPr>
          <w:sz w:val="22"/>
          <w:szCs w:val="22"/>
        </w:rPr>
      </w:pPr>
      <w:r>
        <w:rPr>
          <w:bCs/>
          <w:i/>
          <w:iCs/>
          <w:sz w:val="22"/>
          <w:szCs w:val="22"/>
        </w:rPr>
        <w:t>-</w:t>
      </w:r>
      <w:r>
        <w:rPr>
          <w:bCs/>
          <w:iCs/>
          <w:sz w:val="22"/>
          <w:szCs w:val="22"/>
        </w:rPr>
        <w:t xml:space="preserve"> CATANIA – Unione Italiana dei Ciechi e degli Ipovedenti - Sezione Territoriale di Catania, Via Louis Braille n.6 -  C.A.P. 95125 </w:t>
      </w:r>
      <w:r>
        <w:rPr>
          <w:sz w:val="22"/>
          <w:szCs w:val="22"/>
        </w:rPr>
        <w:t>per la formazione svolta presso la Sezione</w:t>
      </w:r>
    </w:p>
    <w:p>
      <w:pPr>
        <w:pStyle w:val="Normal"/>
        <w:spacing w:before="0" w:after="29"/>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zione@pec.uiccatania.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TotalTime>
  <Application>LibreOffice/7.4.2.3$Windows_X86_64 LibreOffice_project/382eef1f22670f7f4118c8c2dd222ec7ad009daf</Application>
  <AppVersion>15.0000</AppVersion>
  <Pages>7</Pages>
  <Words>2616</Words>
  <Characters>15316</Characters>
  <CharactersWithSpaces>17709</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2023-11-13T17:15:06Z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