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color w:val="000000"/>
          <w:sz w:val="26"/>
          <w:szCs w:val="24"/>
        </w:rPr>
        <w:t>PERSONALIZZATO 17 ART. 40 - CATANZARO</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I volontari svolgono attività di accompagnamento dei non vedenti, aiutandoli nel compimento degli atti quotidiani, in modo da consentire loro un recupero di autonomia, una efficace mobilità sul territorio e quindi una soddisfacente integrazione nel contesto sociale. L’attività di accompagnamento viene espletata in modo tale da consentire al non vedente la più ampia integrazione sociale, grazie all’assistenza prestata quotidianamente dal volontario. In tal modo, il non vedente riceve un decisivo contributo per superare gli ostacoli che limitano obiettivamente la sua autonomia. In particolare quindi si svolgeranno le seguenti attività:</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xml:space="preserve">- accompagnamento individualizzato per le normali attività quotidiane, come visite mediche e spese farmaceutiche, disbrigo pratiche burocratiche, adempimenti relativi alla pensionistica e alla riscossione delle provvidenze, spesa alimentare; </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accompagnamento presso le sedi dell’Unione Italiana Ciechi e Ipovedenti, Sezione di Catanzaro, per fruire dei servizi di consulenza oculistica, legale, fiscale, previdenziale, amministrativa, di segretariato sociale nonché dell’aula informatica attrezzata con tecnologie assistive.</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xml:space="preserve">- accompagnamento per attività di tipo sociale, culturale e ricreativo come cinema, teatro, concerti, passeggiate anche a fini terapeutici, gite sociali e culturali, manifestazioni, mostre; </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xml:space="preserve"> </w:t>
      </w:r>
      <w:r>
        <w:rPr>
          <w:rFonts w:eastAsia="Times New Roman"/>
          <w:szCs w:val="24"/>
          <w:lang w:eastAsia="it-IT"/>
        </w:rPr>
        <w:t>- accompagnamento per riunioni di lavoro, per assemblee cui l’interessato desideri partecipare,convegni per adempimenti presso sportelli bancari e postali, anche per la fruizione di servizi elettronici di prelievo e/o pagamento;</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accompagnamento dei dirigenti dell’ente per la partecipazione alle attività istituzionali dell’associazione;</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assistenza nei processi di formazione e sottoscrizione dei documenti;</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lettura di quotidiani, libri, giornali, ricerca di informazioni culturali anche in Internet,  aiuto per l’utilizzo di  supporti magnetici e/o informatici per la registrazione di riviste o di libri da rendere disponibili all'utente per il suo aggiornamento culturale.</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Il volontario, pertanto, presta la sua opera di accompagnamento, aiutando il non vedente in tutte le attività in cui il deficit visivo costituisce un impedimento.</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rFonts w:eastAsia="Times New Roman"/>
          <w:szCs w:val="24"/>
          <w:lang w:eastAsia="it-IT"/>
        </w:rPr>
      </w:pPr>
      <w:r>
        <w:rPr>
          <w:rFonts w:eastAsia="Times New Roman"/>
          <w:szCs w:val="24"/>
          <w:lang w:eastAsia="it-IT"/>
        </w:rPr>
        <w:t xml:space="preserve">Ai volontari sono assegnati orari finalizzati a soddisfare la quantità e la qualità delle richieste dell’interessato. </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b w:val="false"/>
          <w:b w:val="false"/>
          <w:bCs w:val="false"/>
        </w:rPr>
      </w:pPr>
      <w:r>
        <w:rPr>
          <w:rFonts w:eastAsia="Times New Roman"/>
          <w:b w:val="false"/>
          <w:bCs w:val="false"/>
          <w:color w:val="000000"/>
          <w:sz w:val="26"/>
          <w:szCs w:val="24"/>
          <w:lang w:eastAsia="it-IT"/>
        </w:rPr>
        <w:t>Allo scopo di garantire la migliore capacità di approccio dei volontari in fase iniziale con la realtà dei non vedenti ed una loro constante crescita umana e culturale, i volontari saranno tenuti a frequentare un apposito corso di formazione. Nello stesso, saranno trattati temi specifici per la conoscenza del condizionamento della cecità o della grave ipovisione. Il Corso prevedrà, altresì esperienze di tirocinio diretto.</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pBdr>
          <w:top w:val="single" w:sz="4" w:space="1" w:color="000000"/>
          <w:left w:val="single" w:sz="4" w:space="4" w:color="000000"/>
          <w:bottom w:val="single" w:sz="4" w:space="1" w:color="000000"/>
          <w:right w:val="single" w:sz="4" w:space="4" w:color="000000"/>
        </w:pBdr>
        <w:suppressAutoHyphens w:val="false"/>
        <w:ind w:left="851" w:hanging="0"/>
        <w:rPr>
          <w:sz w:val="24"/>
          <w:szCs w:val="24"/>
        </w:rPr>
      </w:pPr>
      <w:r>
        <w:rPr>
          <w:rFonts w:eastAsia="Times New Roman" w:cs="" w:asciiTheme="minorHAnsi" w:cstheme="minorHAnsi" w:hAnsiTheme="minorHAnsi"/>
          <w:sz w:val="24"/>
          <w:szCs w:val="24"/>
        </w:rPr>
        <w:t>Verranno promossi incontri a cadenza mensile per rilevare il grado di valutazione dell'esperienza fermo restando che l'OLP avrà un contatto giornaliero con gli operatori volontari nel rispetto delle normative vigenti ed al fine di sanare eventuali fattori problematici. In relazione inoltre all'impiego degli operatori volontari saranno organizzati continui e costanti momenti di incontro unitamente ai soggetti assistiti per un confronto sullo stato di avanzamento del progetto.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b/>
                <w:bCs/>
                <w:color w:val="000000"/>
                <w:sz w:val="26"/>
                <w:szCs w:val="26"/>
              </w:rPr>
              <w:t>HELIOS</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b/>
                <w:b/>
                <w:bCs/>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b/>
                <w:b/>
                <w:bCs/>
              </w:rPr>
            </w:pPr>
            <w:r>
              <w:rPr>
                <w:rFonts w:eastAsia="Times New Roman"/>
                <w:b/>
                <w:bCs/>
                <w:szCs w:val="24"/>
              </w:rPr>
              <w:t>Sezione territoriale di Catanzaro       Via  Spizzirri n. 1/3   cap 88100  Catanzaro</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Tel.: 0961721427    e-mail: </w:t>
            </w:r>
            <w:hyperlink r:id="rId3">
              <w:r>
                <w:rPr>
                  <w:rStyle w:val="CollegamentoInternet"/>
                  <w:rFonts w:eastAsia="Times New Roman"/>
                  <w:b/>
                  <w:bCs/>
                  <w:szCs w:val="24"/>
                </w:rPr>
                <w:t>uiccz@uici.it</w:t>
              </w:r>
            </w:hyperlink>
            <w:r>
              <w:rPr>
                <w:rFonts w:eastAsia="Times New Roman"/>
                <w:b/>
                <w:bCs/>
                <w:szCs w:val="24"/>
              </w:rPr>
              <w:t xml:space="preserve">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b/>
                <w:b/>
                <w:bCs/>
              </w:rPr>
            </w:pPr>
            <w:r>
              <w:rPr>
                <w:rFonts w:eastAsia="Times New Roman"/>
                <w:b/>
                <w:bCs/>
                <w:szCs w:val="24"/>
              </w:rPr>
              <w:t>pec: uiccz@pec.it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r>
    </w:p>
    <w:tbl>
      <w:tblPr>
        <w:tblW w:w="10348" w:type="dxa"/>
        <w:jc w:val="left"/>
        <w:tblInd w:w="-147" w:type="dxa"/>
        <w:tblLayout w:type="fixed"/>
        <w:tblCellMar>
          <w:top w:w="0" w:type="dxa"/>
          <w:left w:w="70" w:type="dxa"/>
          <w:bottom w:w="0" w:type="dxa"/>
          <w:right w:w="70" w:type="dxa"/>
        </w:tblCellMar>
        <w:tblLook w:firstRow="0" w:noVBand="0" w:lastRow="0" w:firstColumn="0" w:lastColumn="0" w:noHBand="0" w:val="0000"/>
      </w:tblPr>
      <w:tblGrid>
        <w:gridCol w:w="10348"/>
      </w:tblGrid>
      <w:tr>
        <w:trPr>
          <w:trHeight w:val="12474" w:hRule="atLeast"/>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1"/>
              </w:numPr>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1"/>
              </w:numPr>
              <w:spacing w:lineRule="auto" w:line="240" w:before="0" w:after="0"/>
              <w:ind w:left="72" w:hanging="0"/>
              <w:jc w:val="both"/>
              <w:rPr>
                <w:sz w:val="22"/>
                <w:szCs w:val="22"/>
              </w:rPr>
            </w:pPr>
            <w:r>
              <w:rPr>
                <w:sz w:val="22"/>
                <w:szCs w:val="22"/>
              </w:rPr>
              <w:t>Colloquio personale</w:t>
            </w:r>
          </w:p>
          <w:p>
            <w:pPr>
              <w:pStyle w:val="Normal"/>
              <w:widowControl w:val="false"/>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ind w:left="72" w:hanging="0"/>
              <w:rPr>
                <w:iCs/>
                <w:sz w:val="22"/>
                <w:szCs w:val="22"/>
              </w:rPr>
            </w:pPr>
            <w:r>
              <w:rPr>
                <w:iCs/>
                <w:sz w:val="22"/>
                <w:szCs w:val="22"/>
              </w:rPr>
              <w:t>Per ognuna delle variabili sono stati specificati gli indicatori di riferimento ed i valori (punteggi) attribuibili a ciascuno.</w:t>
            </w:r>
          </w:p>
          <w:p>
            <w:pPr>
              <w:pStyle w:val="Normal"/>
              <w:widowControl w:val="false"/>
              <w:ind w:left="72" w:hanging="0"/>
              <w:jc w:val="both"/>
              <w:rPr>
                <w:b/>
                <w:b/>
                <w:iCs/>
                <w:sz w:val="22"/>
                <w:szCs w:val="22"/>
                <w:u w:val="single"/>
              </w:rPr>
            </w:pPr>
            <w:r>
              <w:rPr>
                <w:b/>
                <w:iCs/>
                <w:sz w:val="22"/>
                <w:szCs w:val="22"/>
                <w:u w:val="single"/>
              </w:rPr>
              <w:t>ANALISI DOCUMENTALE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8"/>
              <w:gridCol w:w="6477"/>
              <w:gridCol w:w="1703"/>
            </w:tblGrid>
            <w:tr>
              <w:trPr>
                <w:tblHeader w:val="true"/>
              </w:trPr>
              <w:tc>
                <w:tcPr>
                  <w:tcW w:w="2168"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64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3"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8"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Titolo di Studio</w:t>
                  </w:r>
                </w:p>
                <w:p>
                  <w:pPr>
                    <w:pStyle w:val="Normal"/>
                    <w:widowControl w:val="false"/>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03"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8"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attinente il progetto</w:t>
                  </w:r>
                </w:p>
              </w:tc>
              <w:tc>
                <w:tcPr>
                  <w:tcW w:w="1703" w:type="dxa"/>
                  <w:tcBorders>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8"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Titoli professionali</w:t>
                  </w:r>
                </w:p>
                <w:p>
                  <w:pPr>
                    <w:pStyle w:val="Normal"/>
                    <w:widowControl w:val="false"/>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03"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8"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03"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c>
                <w:tcPr>
                  <w:tcW w:w="2168"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esperienze certificate</w:t>
                  </w:r>
                </w:p>
              </w:tc>
              <w:tc>
                <w:tcPr>
                  <w:tcW w:w="6477" w:type="dxa"/>
                  <w:tcBorders>
                    <w:top w:val="single" w:sz="12" w:space="0" w:color="000000"/>
                    <w:bottom w:val="single" w:sz="12" w:space="0" w:color="000000"/>
                  </w:tcBorders>
                  <w:vAlign w:val="center"/>
                </w:tcPr>
                <w:p>
                  <w:pPr>
                    <w:pStyle w:val="Normal"/>
                    <w:widowControl w:val="false"/>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spacing w:before="0" w:after="60"/>
                    <w:ind w:left="72" w:hanging="0"/>
                    <w:jc w:val="left"/>
                    <w:rPr>
                      <w:iCs/>
                      <w:sz w:val="20"/>
                      <w:szCs w:val="20"/>
                    </w:rPr>
                  </w:pPr>
                  <w:r>
                    <w:rPr>
                      <w:iCs/>
                      <w:kern w:val="0"/>
                      <w:sz w:val="20"/>
                      <w:szCs w:val="20"/>
                      <w:lang w:val="it-IT" w:bidi="ar-SA"/>
                    </w:rPr>
                    <w:t>(es. patente ECDL)</w:t>
                  </w:r>
                </w:p>
              </w:tc>
              <w:tc>
                <w:tcPr>
                  <w:tcW w:w="1703"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w:t>
                  </w:r>
                </w:p>
                <w:p>
                  <w:pPr>
                    <w:pStyle w:val="Normal"/>
                    <w:widowControl w:val="false"/>
                    <w:spacing w:before="60" w:after="60"/>
                    <w:ind w:left="72" w:hanging="0"/>
                    <w:jc w:val="center"/>
                    <w:rPr>
                      <w:iCs/>
                      <w:sz w:val="20"/>
                      <w:szCs w:val="20"/>
                    </w:rPr>
                  </w:pPr>
                  <w:r>
                    <w:rPr>
                      <w:iCs/>
                      <w:kern w:val="0"/>
                      <w:sz w:val="20"/>
                      <w:szCs w:val="20"/>
                      <w:lang w:val="it-IT" w:bidi="ar-SA"/>
                    </w:rPr>
                    <w:t>a 3 punti</w:t>
                  </w:r>
                </w:p>
              </w:tc>
            </w:tr>
            <w:tr>
              <w:trPr/>
              <w:tc>
                <w:tcPr>
                  <w:tcW w:w="2168"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Patente di guida</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03"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8"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Esperienze del volontario</w:t>
                  </w:r>
                </w:p>
                <w:p>
                  <w:pPr>
                    <w:pStyle w:val="Normal"/>
                    <w:widowControl w:val="false"/>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7" w:type="dxa"/>
                  <w:tcBorders>
                    <w:top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03" w:type="dxa"/>
                  <w:tcBorders>
                    <w:top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03" w:type="dxa"/>
                  <w:tcBorders>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0,5 punti per mese</w:t>
                  </w:r>
                </w:p>
              </w:tc>
            </w:tr>
            <w:tr>
              <w:trPr/>
              <w:tc>
                <w:tcPr>
                  <w:tcW w:w="2168"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03" w:type="dxa"/>
                  <w:tcBorders>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0,2 punti per mese</w:t>
                  </w:r>
                </w:p>
              </w:tc>
            </w:tr>
            <w:tr>
              <w:trPr/>
              <w:tc>
                <w:tcPr>
                  <w:tcW w:w="2168"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conoscenze e professionalità</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03" w:type="dxa"/>
                  <w:tcBorders>
                    <w:top w:val="single" w:sz="12" w:space="0" w:color="000000"/>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fino a 3 punti</w:t>
                  </w:r>
                </w:p>
              </w:tc>
            </w:tr>
          </w:tbl>
          <w:p>
            <w:pPr>
              <w:pStyle w:val="Normal"/>
              <w:widowControl w:val="false"/>
              <w:ind w:left="72" w:hanging="0"/>
              <w:jc w:val="both"/>
              <w:rPr>
                <w:iCs/>
                <w:sz w:val="12"/>
                <w:szCs w:val="12"/>
              </w:rPr>
            </w:pPr>
            <w:r>
              <w:rPr>
                <w:iCs/>
                <w:sz w:val="12"/>
                <w:szCs w:val="12"/>
              </w:rPr>
            </w:r>
          </w:p>
          <w:p>
            <w:pPr>
              <w:pStyle w:val="Normal"/>
              <w:widowControl w:val="false"/>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ind w:left="72" w:hanging="0"/>
              <w:jc w:val="both"/>
              <w:rPr>
                <w:iCs/>
                <w:sz w:val="22"/>
                <w:szCs w:val="22"/>
              </w:rPr>
            </w:pPr>
            <w:r>
              <w:rPr>
                <w:iCs/>
                <w:sz w:val="22"/>
                <w:szCs w:val="22"/>
              </w:rPr>
            </w:r>
          </w:p>
          <w:p>
            <w:pPr>
              <w:pStyle w:val="Normal"/>
              <w:widowControl w:val="false"/>
              <w:ind w:left="72" w:hanging="0"/>
              <w:jc w:val="both"/>
              <w:rPr>
                <w:iCs/>
                <w:sz w:val="4"/>
                <w:szCs w:val="4"/>
              </w:rPr>
            </w:pPr>
            <w:r>
              <w:rPr>
                <w:iCs/>
                <w:sz w:val="4"/>
                <w:szCs w:val="4"/>
              </w:rPr>
            </w:r>
          </w:p>
          <w:p>
            <w:pPr>
              <w:pStyle w:val="Normal"/>
              <w:widowControl w:val="false"/>
              <w:ind w:left="72" w:hanging="0"/>
              <w:jc w:val="both"/>
              <w:rPr>
                <w:b/>
                <w:b/>
                <w:iCs/>
                <w:sz w:val="22"/>
                <w:szCs w:val="22"/>
                <w:u w:val="single"/>
              </w:rPr>
            </w:pPr>
            <w:r>
              <w:rPr>
                <w:b/>
                <w:iCs/>
                <w:sz w:val="22"/>
                <w:szCs w:val="22"/>
                <w:u w:val="single"/>
              </w:rPr>
              <w:t>COLLOQUIO DI VALUTAZIONE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8"/>
              <w:gridCol w:w="1703"/>
            </w:tblGrid>
            <w:tr>
              <w:trPr>
                <w:tblHeader w:val="true"/>
              </w:trPr>
              <w:tc>
                <w:tcPr>
                  <w:tcW w:w="30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5568"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3"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8"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03"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Doti e abilità umane possedute dal candidato</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 xml:space="preserve">fino a </w:t>
                  </w:r>
                  <w:bookmarkStart w:id="0" w:name="_GoBack1"/>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relazionali e di comunicazione</w:t>
                  </w:r>
                </w:p>
              </w:tc>
              <w:tc>
                <w:tcPr>
                  <w:tcW w:w="1703"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8"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Servizio Civile Nazionale</w:t>
                  </w:r>
                </w:p>
              </w:tc>
              <w:tc>
                <w:tcPr>
                  <w:tcW w:w="1703"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progetto</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Conoscenze Informatiche</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di lettura (prova pratica)</w:t>
                  </w:r>
                </w:p>
              </w:tc>
              <w:tc>
                <w:tcPr>
                  <w:tcW w:w="1703"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8"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Pregresse esperienze di volontariato</w:t>
                  </w:r>
                </w:p>
              </w:tc>
              <w:tc>
                <w:tcPr>
                  <w:tcW w:w="1703"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bottom w:val="single" w:sz="12" w:space="0" w:color="000000"/>
                  </w:tcBorders>
                </w:tcPr>
                <w:p>
                  <w:pPr>
                    <w:pStyle w:val="Normal"/>
                    <w:widowControl w:val="false"/>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03"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bl>
          <w:p>
            <w:pPr>
              <w:pStyle w:val="Normal"/>
              <w:widowControl w:val="false"/>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ind w:left="72" w:hanging="0"/>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Times New Roman"/>
          <w:b/>
          <w:bCs/>
          <w:i/>
          <w:szCs w:val="24"/>
        </w:rPr>
        <w:t>UNIVERSITA’ MAGNA GRAECIA DI CATANZARO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STIPULATA APPOSITA CONVENZIONE </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color w:val="000000" w:themeColor="text1"/>
        </w:rPr>
      </w:pPr>
      <w:r>
        <w:rPr>
          <w:color w:val="000000" w:themeColor="text1"/>
        </w:rPr>
        <w:t>- CATANZARO – Sede Operativa polivalente dell’Unione Italiana dei Ciechi e degli Ipovedenti di Catanzaro sita in Via Vincenzo Gattoleo 2 – 88100 Catanzaro</w:t>
      </w:r>
    </w:p>
    <w:p>
      <w:pPr>
        <w:pStyle w:val="Normal"/>
        <w:jc w:val="both"/>
        <w:rPr/>
      </w:pPr>
      <w:r>
        <w:rPr>
          <w:sz w:val="22"/>
          <w:szCs w:val="22"/>
        </w:rPr>
        <w:t>- ROMA – Presidenza Nazionale Unione Italiana dei Ciechi e degli Ipovedenti Via Borgognona n. 38 Cap 00187 peri la formazione svolta a distanza (FAD)</w:t>
      </w:r>
    </w:p>
    <w:p>
      <w:pPr>
        <w:pStyle w:val="Normal"/>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bidi w:val="0"/>
        <w:jc w:val="center"/>
        <w:rPr>
          <w:b/>
          <w:b/>
          <w:bCs/>
          <w:sz w:val="26"/>
          <w:szCs w:val="26"/>
        </w:rPr>
      </w:pPr>
      <w:r>
        <w:rPr>
          <w:b/>
          <w:bCs/>
          <w:sz w:val="26"/>
          <w:szCs w:val="26"/>
        </w:rPr>
        <w:t>ULTERIORI MISURE AGGIUNTIVE</w:t>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sz w:val="24"/>
          <w:szCs w:val="24"/>
        </w:rPr>
      </w:pPr>
      <w:r>
        <w:rPr>
          <w:b/>
          <w:sz w:val="24"/>
          <w:szCs w:val="24"/>
        </w:rPr>
        <w:t>PARTECIPAZIONE DI GIOVANI CON MINORI OPPORTUNITA’ voce 21</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Numero posti previsti per giovani con minori opportunità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21.1</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Tipologia di giovani con minore opportunità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21.2</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b/>
        <w:t xml:space="preserve">- Disabilità (specificare il tipo di disabilità) </w:t>
      </w:r>
    </w:p>
    <w:p>
      <w:pPr>
        <w:pStyle w:val="Normal"/>
        <w:pBdr>
          <w:top w:val="single" w:sz="4" w:space="1" w:color="000000"/>
          <w:left w:val="single" w:sz="4" w:space="4" w:color="000000"/>
          <w:bottom w:val="single" w:sz="4" w:space="1" w:color="000000"/>
          <w:right w:val="single" w:sz="4" w:space="4" w:color="000000"/>
        </w:pBdr>
        <w:ind w:firstLine="708"/>
        <w:rPr>
          <w:sz w:val="24"/>
          <w:szCs w:val="24"/>
        </w:rPr>
      </w:pPr>
      <w:r>
        <w:rPr>
          <w:sz w:val="24"/>
          <w:szCs w:val="24"/>
        </w:rPr>
        <w:t>- Bassa scolarizzazione</w:t>
      </w:r>
    </w:p>
    <w:p>
      <w:pPr>
        <w:pStyle w:val="Normal"/>
        <w:pBdr>
          <w:top w:val="single" w:sz="4" w:space="1" w:color="000000"/>
          <w:left w:val="single" w:sz="4" w:space="4" w:color="000000"/>
          <w:bottom w:val="single" w:sz="4" w:space="1" w:color="000000"/>
          <w:right w:val="single" w:sz="4" w:space="4" w:color="000000"/>
        </w:pBdr>
        <w:ind w:firstLine="708"/>
        <w:rPr>
          <w:sz w:val="24"/>
          <w:szCs w:val="24"/>
        </w:rPr>
      </w:pPr>
      <w:r>
        <w:rPr>
          <w:sz w:val="24"/>
          <w:szCs w:val="24"/>
        </w:rPr>
        <w:t>- Difficoltà economiche</w:t>
      </w:r>
    </w:p>
    <w:p>
      <w:pPr>
        <w:pStyle w:val="Normal"/>
        <w:pBdr>
          <w:top w:val="single" w:sz="4" w:space="1" w:color="000000"/>
          <w:left w:val="single" w:sz="4" w:space="4" w:color="000000"/>
          <w:bottom w:val="single" w:sz="4" w:space="1" w:color="000000"/>
          <w:right w:val="single" w:sz="4" w:space="4" w:color="000000"/>
        </w:pBdr>
        <w:ind w:firstLine="708"/>
        <w:rPr>
          <w:sz w:val="24"/>
          <w:szCs w:val="24"/>
        </w:rPr>
      </w:pPr>
      <w:r>
        <w:rPr>
          <w:sz w:val="24"/>
          <w:szCs w:val="24"/>
        </w:rPr>
        <w:t>- Care leavers</w:t>
      </w:r>
    </w:p>
    <w:p>
      <w:pPr>
        <w:pStyle w:val="Normal"/>
        <w:pBdr>
          <w:top w:val="single" w:sz="4" w:space="1" w:color="000000"/>
          <w:left w:val="single" w:sz="4" w:space="4" w:color="000000"/>
          <w:bottom w:val="single" w:sz="4" w:space="1" w:color="000000"/>
          <w:right w:val="single" w:sz="4" w:space="4" w:color="000000"/>
        </w:pBdr>
        <w:ind w:firstLine="708"/>
        <w:rPr>
          <w:sz w:val="24"/>
          <w:szCs w:val="24"/>
        </w:rPr>
      </w:pPr>
      <w:r>
        <w:rPr>
          <w:sz w:val="24"/>
          <w:szCs w:val="24"/>
        </w:rPr>
        <w:t>- Giovani soggetti a temporanea condizione di fragilità personale o sociale</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b/>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Documento che attesta l’appartenenza del giovane alla categoria individuata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21.3</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Attività degli operatori volontari con minori opportunità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6</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Ulteriori risorse umane 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21.6</w:t>
      </w:r>
    </w:p>
    <w:p>
      <w:pPr>
        <w:pStyle w:val="Normal"/>
        <w:ind w:left="785" w:hanging="0"/>
        <w:rPr>
          <w:b/>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b/>
          <w:sz w:val="24"/>
          <w:szCs w:val="24"/>
        </w:rPr>
        <w:t>SVOLGIMENTO DI UN PERIODO DI TUTORAGGIO voce 22</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Durata del periodo di tutoraggio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22.1</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Ore dedicate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22.2</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 </w:t>
      </w:r>
      <w:r>
        <w:rPr>
          <w:sz w:val="24"/>
          <w:szCs w:val="24"/>
        </w:rPr>
        <w:t xml:space="preserve">Tempi, modalità e articolazione oraria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22.3</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Attività di tutoraggio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22.4 (obbligatorie)</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voce 22.5 (opzionali)</w:t>
      </w:r>
    </w:p>
    <w:p>
      <w:pPr>
        <w:pStyle w:val="Normal"/>
        <w:ind w:left="785" w:hanging="0"/>
        <w:rPr>
          <w:b/>
          <w:b/>
          <w:sz w:val="24"/>
          <w:szCs w:val="24"/>
          <w:highlight w:val="green"/>
        </w:rPr>
      </w:pPr>
      <w:r>
        <w:rPr>
          <w:b/>
          <w:sz w:val="24"/>
          <w:szCs w:val="24"/>
          <w:highlight w:val="green"/>
        </w:rPr>
      </w:r>
    </w:p>
    <w:p>
      <w:pPr>
        <w:pStyle w:val="Normal"/>
        <w:bidi w:val="0"/>
        <w:jc w:val="left"/>
        <w:rPr>
          <w:b/>
          <w:b/>
          <w:bCs/>
          <w:sz w:val="24"/>
          <w:szCs w:val="24"/>
        </w:rPr>
      </w:pPr>
      <w:r>
        <w:rPr>
          <w:b/>
          <w:bCs/>
          <w:sz w:val="24"/>
          <w:szCs w:val="24"/>
        </w:rPr>
      </w:r>
    </w:p>
    <w:p>
      <w:pPr>
        <w:pStyle w:val="Normal"/>
        <w:bidi w:val="0"/>
        <w:jc w:val="center"/>
        <w:rPr>
          <w:b/>
          <w:b/>
          <w:bCs/>
          <w:sz w:val="24"/>
          <w:szCs w:val="24"/>
        </w:rPr>
      </w:pPr>
      <w:r>
        <w:rPr>
          <w:b/>
          <w:bCs/>
          <w:sz w:val="24"/>
          <w:szCs w:val="24"/>
        </w:rPr>
      </w:r>
    </w:p>
    <w:p>
      <w:pPr>
        <w:pStyle w:val="Normal"/>
        <w:bidi w:val="0"/>
        <w:jc w:val="center"/>
        <w:rPr>
          <w:b/>
          <w:b/>
          <w:bCs/>
          <w:sz w:val="24"/>
          <w:szCs w:val="24"/>
        </w:rPr>
      </w:pPr>
      <w:r>
        <w:rPr>
          <w:b/>
          <w:bCs/>
          <w:sz w:val="24"/>
          <w:szCs w:val="24"/>
        </w:rPr>
      </w:r>
    </w:p>
    <w:p>
      <w:pPr>
        <w:pStyle w:val="Normal"/>
        <w:bidi w:val="0"/>
        <w:jc w:val="left"/>
        <w:rPr>
          <w:sz w:val="24"/>
          <w:szCs w:val="24"/>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FF"/>
      <w:u w:val="single"/>
    </w:rPr>
  </w:style>
  <w:style w:type="character" w:styleId="CollegamentoInternetvisitato">
    <w:name w:val="FollowedHyperlink"/>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cz@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192</TotalTime>
  <Application>LibreOffice/7.4.2.3$Windows_X86_64 LibreOffice_project/382eef1f22670f7f4118c8c2dd222ec7ad009daf</Application>
  <AppVersion>15.0000</AppVersion>
  <Pages>8</Pages>
  <Words>2715</Words>
  <Characters>16195</Characters>
  <CharactersWithSpaces>18681</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2023-11-11T20:42:06Z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