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F9E1" w14:textId="77777777" w:rsidR="00942E3C" w:rsidRDefault="00942E3C">
      <w:pPr>
        <w:pBdr>
          <w:top w:val="nil"/>
          <w:left w:val="nil"/>
          <w:bottom w:val="nil"/>
          <w:right w:val="nil"/>
          <w:between w:val="nil"/>
        </w:pBdr>
        <w:spacing w:after="0" w:line="240" w:lineRule="auto"/>
        <w:rPr>
          <w:rFonts w:ascii="Abadi" w:eastAsia="Abadi" w:hAnsi="Abadi" w:cs="Abadi"/>
          <w:color w:val="000000"/>
          <w:sz w:val="36"/>
          <w:szCs w:val="36"/>
        </w:rPr>
      </w:pPr>
      <w:bookmarkStart w:id="0" w:name="_GoBack"/>
      <w:bookmarkEnd w:id="0"/>
    </w:p>
    <w:p w14:paraId="57966359" w14:textId="30111358" w:rsidR="00942E3C" w:rsidRDefault="00942E3C" w:rsidP="00942E3C">
      <w:pPr>
        <w:pBdr>
          <w:top w:val="nil"/>
          <w:left w:val="nil"/>
          <w:bottom w:val="nil"/>
          <w:right w:val="nil"/>
          <w:between w:val="nil"/>
        </w:pBdr>
        <w:spacing w:after="0" w:line="240" w:lineRule="auto"/>
        <w:jc w:val="center"/>
        <w:rPr>
          <w:rFonts w:ascii="Abadi" w:eastAsia="Abadi" w:hAnsi="Abadi" w:cs="Abadi"/>
          <w:color w:val="000000"/>
          <w:sz w:val="36"/>
          <w:szCs w:val="36"/>
        </w:rPr>
      </w:pPr>
      <w:r>
        <w:rPr>
          <w:noProof/>
        </w:rPr>
        <w:drawing>
          <wp:inline distT="0" distB="0" distL="0" distR="0" wp14:anchorId="1A1FF395" wp14:editId="56D06216">
            <wp:extent cx="2249805" cy="652145"/>
            <wp:effectExtent l="0" t="0" r="0" b="0"/>
            <wp:docPr id="27" name="image7.png" descr="Italian Disability Forum Logo"/>
            <wp:cNvGraphicFramePr/>
            <a:graphic xmlns:a="http://schemas.openxmlformats.org/drawingml/2006/main">
              <a:graphicData uri="http://schemas.openxmlformats.org/drawingml/2006/picture">
                <pic:pic xmlns:pic="http://schemas.openxmlformats.org/drawingml/2006/picture">
                  <pic:nvPicPr>
                    <pic:cNvPr id="0" name="image7.png" descr="Italian Disability Forum Logo"/>
                    <pic:cNvPicPr preferRelativeResize="0"/>
                  </pic:nvPicPr>
                  <pic:blipFill>
                    <a:blip r:embed="rId7"/>
                    <a:srcRect/>
                    <a:stretch>
                      <a:fillRect/>
                    </a:stretch>
                  </pic:blipFill>
                  <pic:spPr>
                    <a:xfrm>
                      <a:off x="0" y="0"/>
                      <a:ext cx="2249805" cy="652145"/>
                    </a:xfrm>
                    <a:prstGeom prst="rect">
                      <a:avLst/>
                    </a:prstGeom>
                    <a:ln/>
                  </pic:spPr>
                </pic:pic>
              </a:graphicData>
            </a:graphic>
          </wp:inline>
        </w:drawing>
      </w:r>
    </w:p>
    <w:p w14:paraId="036277C6" w14:textId="77777777" w:rsidR="00942E3C" w:rsidRDefault="00942E3C">
      <w:pPr>
        <w:pBdr>
          <w:top w:val="nil"/>
          <w:left w:val="nil"/>
          <w:bottom w:val="nil"/>
          <w:right w:val="nil"/>
          <w:between w:val="nil"/>
        </w:pBdr>
        <w:spacing w:after="0" w:line="240" w:lineRule="auto"/>
        <w:rPr>
          <w:rFonts w:ascii="Abadi" w:eastAsia="Abadi" w:hAnsi="Abadi" w:cs="Abadi"/>
          <w:color w:val="000000"/>
          <w:sz w:val="36"/>
          <w:szCs w:val="36"/>
        </w:rPr>
      </w:pPr>
    </w:p>
    <w:p w14:paraId="704B9DC2" w14:textId="050702BA" w:rsidR="00FB27AA" w:rsidRPr="004530B8" w:rsidRDefault="00942E3C" w:rsidP="00FB27AA">
      <w:pPr>
        <w:pBdr>
          <w:top w:val="nil"/>
          <w:left w:val="nil"/>
          <w:bottom w:val="nil"/>
          <w:right w:val="nil"/>
          <w:between w:val="nil"/>
        </w:pBdr>
        <w:spacing w:after="0" w:line="240" w:lineRule="auto"/>
        <w:jc w:val="center"/>
        <w:rPr>
          <w:rFonts w:ascii="Arial" w:eastAsia="Abadi" w:hAnsi="Arial" w:cs="Arial"/>
          <w:color w:val="000000"/>
          <w:sz w:val="28"/>
          <w:szCs w:val="28"/>
        </w:rPr>
      </w:pPr>
      <w:r w:rsidRPr="004530B8">
        <w:rPr>
          <w:rFonts w:ascii="Arial" w:eastAsia="Abadi" w:hAnsi="Arial" w:cs="Arial"/>
          <w:color w:val="000000"/>
          <w:sz w:val="28"/>
          <w:szCs w:val="28"/>
        </w:rPr>
        <w:t>W</w:t>
      </w:r>
      <w:r w:rsidR="007E43AB" w:rsidRPr="004530B8">
        <w:rPr>
          <w:rFonts w:ascii="Arial" w:eastAsia="Abadi" w:hAnsi="Arial" w:cs="Arial"/>
          <w:color w:val="000000"/>
          <w:sz w:val="28"/>
          <w:szCs w:val="28"/>
        </w:rPr>
        <w:t>ritten submission</w:t>
      </w:r>
      <w:r w:rsidR="00FB27AA" w:rsidRPr="004530B8">
        <w:rPr>
          <w:rFonts w:ascii="Arial" w:eastAsia="Abadi" w:hAnsi="Arial" w:cs="Arial"/>
          <w:color w:val="000000"/>
          <w:sz w:val="28"/>
          <w:szCs w:val="28"/>
        </w:rPr>
        <w:t xml:space="preserve"> to the </w:t>
      </w:r>
      <w:r w:rsidR="00867C44">
        <w:rPr>
          <w:rFonts w:ascii="Arial" w:eastAsia="Abadi" w:hAnsi="Arial" w:cs="Arial"/>
          <w:color w:val="000000"/>
          <w:sz w:val="28"/>
          <w:szCs w:val="28"/>
        </w:rPr>
        <w:t xml:space="preserve">UN </w:t>
      </w:r>
      <w:r w:rsidR="00FB27AA" w:rsidRPr="004530B8">
        <w:rPr>
          <w:rFonts w:ascii="Arial" w:eastAsia="Abadi" w:hAnsi="Arial" w:cs="Arial"/>
          <w:color w:val="000000"/>
          <w:sz w:val="28"/>
          <w:szCs w:val="28"/>
        </w:rPr>
        <w:t>C</w:t>
      </w:r>
      <w:r w:rsidR="00867C44">
        <w:rPr>
          <w:rFonts w:ascii="Arial" w:eastAsia="Abadi" w:hAnsi="Arial" w:cs="Arial"/>
          <w:color w:val="000000"/>
          <w:sz w:val="28"/>
          <w:szCs w:val="28"/>
        </w:rPr>
        <w:t>ommittee on the Rights of Persons with Disabilities (C</w:t>
      </w:r>
      <w:r w:rsidR="00FB27AA" w:rsidRPr="004530B8">
        <w:rPr>
          <w:rFonts w:ascii="Arial" w:eastAsia="Abadi" w:hAnsi="Arial" w:cs="Arial"/>
          <w:color w:val="000000"/>
          <w:sz w:val="28"/>
          <w:szCs w:val="28"/>
        </w:rPr>
        <w:t>RPD</w:t>
      </w:r>
      <w:r w:rsidR="00867C44">
        <w:rPr>
          <w:rFonts w:ascii="Arial" w:eastAsia="Abadi" w:hAnsi="Arial" w:cs="Arial"/>
          <w:color w:val="000000"/>
          <w:sz w:val="28"/>
          <w:szCs w:val="28"/>
        </w:rPr>
        <w:t>)</w:t>
      </w:r>
    </w:p>
    <w:p w14:paraId="00000001" w14:textId="153368E4" w:rsidR="00E4171C" w:rsidRPr="004530B8" w:rsidRDefault="007E43AB" w:rsidP="00FB27AA">
      <w:pPr>
        <w:pBdr>
          <w:top w:val="nil"/>
          <w:left w:val="nil"/>
          <w:bottom w:val="nil"/>
          <w:right w:val="nil"/>
          <w:between w:val="nil"/>
        </w:pBdr>
        <w:spacing w:after="0" w:line="240" w:lineRule="auto"/>
        <w:jc w:val="center"/>
        <w:rPr>
          <w:rFonts w:ascii="Arial" w:eastAsia="Abadi" w:hAnsi="Arial" w:cs="Arial"/>
          <w:color w:val="000000"/>
          <w:sz w:val="28"/>
          <w:szCs w:val="28"/>
        </w:rPr>
      </w:pPr>
      <w:r w:rsidRPr="004530B8">
        <w:rPr>
          <w:rFonts w:ascii="Arial" w:eastAsia="Abadi" w:hAnsi="Arial" w:cs="Arial"/>
          <w:color w:val="000000"/>
          <w:sz w:val="28"/>
          <w:szCs w:val="28"/>
        </w:rPr>
        <w:t>on the draft guidelines on addressing multiple and intersectional forms of discrimination against women and girls with disabilities</w:t>
      </w:r>
    </w:p>
    <w:p w14:paraId="155C5A1D" w14:textId="12F9CD26" w:rsidR="00942E3C" w:rsidRPr="004530B8" w:rsidRDefault="00942E3C">
      <w:pPr>
        <w:pBdr>
          <w:top w:val="nil"/>
          <w:left w:val="nil"/>
          <w:bottom w:val="nil"/>
          <w:right w:val="nil"/>
          <w:between w:val="nil"/>
        </w:pBdr>
        <w:spacing w:after="0" w:line="240" w:lineRule="auto"/>
        <w:rPr>
          <w:rFonts w:ascii="Arial" w:eastAsia="Abadi" w:hAnsi="Arial" w:cs="Arial"/>
          <w:color w:val="000000"/>
          <w:sz w:val="28"/>
          <w:szCs w:val="28"/>
        </w:rPr>
      </w:pPr>
    </w:p>
    <w:p w14:paraId="143FF0A4" w14:textId="73FF8224" w:rsidR="00942E3C" w:rsidRPr="004530B8" w:rsidRDefault="00942E3C">
      <w:pPr>
        <w:pBdr>
          <w:top w:val="nil"/>
          <w:left w:val="nil"/>
          <w:bottom w:val="nil"/>
          <w:right w:val="nil"/>
          <w:between w:val="nil"/>
        </w:pBdr>
        <w:spacing w:after="0" w:line="240" w:lineRule="auto"/>
        <w:rPr>
          <w:rFonts w:ascii="Arial" w:eastAsia="Abadi" w:hAnsi="Arial" w:cs="Arial"/>
          <w:color w:val="000000"/>
          <w:sz w:val="28"/>
          <w:szCs w:val="28"/>
        </w:rPr>
      </w:pPr>
    </w:p>
    <w:p w14:paraId="63E2B402" w14:textId="49453855" w:rsidR="00FB27AA" w:rsidRPr="004530B8" w:rsidRDefault="00FB27AA" w:rsidP="00FB27AA">
      <w:pPr>
        <w:pBdr>
          <w:top w:val="nil"/>
          <w:left w:val="nil"/>
          <w:bottom w:val="nil"/>
          <w:right w:val="nil"/>
          <w:between w:val="nil"/>
        </w:pBdr>
        <w:spacing w:after="0" w:line="240" w:lineRule="auto"/>
        <w:jc w:val="center"/>
        <w:rPr>
          <w:rFonts w:ascii="Arial" w:eastAsia="Abadi" w:hAnsi="Arial" w:cs="Arial"/>
          <w:color w:val="000000"/>
          <w:sz w:val="28"/>
          <w:szCs w:val="28"/>
        </w:rPr>
      </w:pPr>
      <w:r w:rsidRPr="004530B8">
        <w:rPr>
          <w:rFonts w:ascii="Arial" w:eastAsia="Abadi" w:hAnsi="Arial" w:cs="Arial"/>
          <w:color w:val="000000"/>
          <w:sz w:val="28"/>
          <w:szCs w:val="28"/>
        </w:rPr>
        <w:t>b</w:t>
      </w:r>
      <w:r w:rsidR="00942E3C" w:rsidRPr="004530B8">
        <w:rPr>
          <w:rFonts w:ascii="Arial" w:eastAsia="Abadi" w:hAnsi="Arial" w:cs="Arial"/>
          <w:color w:val="000000"/>
          <w:sz w:val="28"/>
          <w:szCs w:val="28"/>
        </w:rPr>
        <w:t>y</w:t>
      </w:r>
    </w:p>
    <w:p w14:paraId="7B0067E1" w14:textId="77777777" w:rsidR="00FB27AA" w:rsidRPr="004530B8" w:rsidRDefault="00FB27AA" w:rsidP="00FB27AA">
      <w:pPr>
        <w:pBdr>
          <w:top w:val="nil"/>
          <w:left w:val="nil"/>
          <w:bottom w:val="nil"/>
          <w:right w:val="nil"/>
          <w:between w:val="nil"/>
        </w:pBdr>
        <w:spacing w:after="0" w:line="240" w:lineRule="auto"/>
        <w:jc w:val="center"/>
        <w:rPr>
          <w:rFonts w:ascii="Arial" w:eastAsia="Abadi" w:hAnsi="Arial" w:cs="Arial"/>
          <w:color w:val="000000"/>
          <w:sz w:val="28"/>
          <w:szCs w:val="28"/>
        </w:rPr>
      </w:pPr>
    </w:p>
    <w:p w14:paraId="207BE2A6" w14:textId="77777777" w:rsidR="00FB27AA" w:rsidRPr="004530B8" w:rsidRDefault="00FB27AA" w:rsidP="00FB27AA">
      <w:pPr>
        <w:pBdr>
          <w:top w:val="nil"/>
          <w:left w:val="nil"/>
          <w:bottom w:val="nil"/>
          <w:right w:val="nil"/>
          <w:between w:val="nil"/>
        </w:pBdr>
        <w:spacing w:after="0" w:line="240" w:lineRule="auto"/>
        <w:jc w:val="center"/>
        <w:rPr>
          <w:rFonts w:ascii="Arial" w:eastAsia="Abadi" w:hAnsi="Arial" w:cs="Arial"/>
          <w:color w:val="000000"/>
          <w:sz w:val="28"/>
          <w:szCs w:val="28"/>
        </w:rPr>
      </w:pPr>
    </w:p>
    <w:p w14:paraId="2C30929E" w14:textId="599E1441" w:rsidR="00942E3C" w:rsidRPr="004530B8" w:rsidRDefault="00942E3C" w:rsidP="00FB27AA">
      <w:pPr>
        <w:pBdr>
          <w:top w:val="nil"/>
          <w:left w:val="nil"/>
          <w:bottom w:val="nil"/>
          <w:right w:val="nil"/>
          <w:between w:val="nil"/>
        </w:pBdr>
        <w:spacing w:after="0" w:line="240" w:lineRule="auto"/>
        <w:jc w:val="center"/>
        <w:rPr>
          <w:rFonts w:ascii="Arial" w:eastAsia="Abadi" w:hAnsi="Arial" w:cs="Arial"/>
          <w:color w:val="000000"/>
          <w:sz w:val="28"/>
          <w:szCs w:val="28"/>
        </w:rPr>
      </w:pPr>
      <w:r w:rsidRPr="004530B8">
        <w:rPr>
          <w:rFonts w:ascii="Arial" w:eastAsia="Abadi" w:hAnsi="Arial" w:cs="Arial"/>
          <w:color w:val="000000"/>
          <w:sz w:val="28"/>
          <w:szCs w:val="28"/>
        </w:rPr>
        <w:t>the Italian Disability Forum</w:t>
      </w:r>
    </w:p>
    <w:p w14:paraId="00000002" w14:textId="77777777" w:rsidR="00E4171C" w:rsidRPr="004530B8" w:rsidRDefault="00E4171C">
      <w:pPr>
        <w:pBdr>
          <w:top w:val="nil"/>
          <w:left w:val="nil"/>
          <w:bottom w:val="nil"/>
          <w:right w:val="nil"/>
          <w:between w:val="nil"/>
        </w:pBdr>
        <w:spacing w:after="0" w:line="240" w:lineRule="auto"/>
        <w:rPr>
          <w:rFonts w:ascii="Arial" w:eastAsia="Arial" w:hAnsi="Arial" w:cs="Arial"/>
          <w:color w:val="000000"/>
          <w:sz w:val="28"/>
          <w:szCs w:val="28"/>
        </w:rPr>
      </w:pPr>
    </w:p>
    <w:p w14:paraId="00000009" w14:textId="5232AF68" w:rsidR="00E4171C" w:rsidRPr="004530B8" w:rsidRDefault="004530B8" w:rsidP="004530B8">
      <w:pPr>
        <w:jc w:val="center"/>
        <w:rPr>
          <w:rFonts w:ascii="Arial" w:eastAsia="Roboto" w:hAnsi="Arial" w:cs="Arial"/>
          <w:sz w:val="28"/>
          <w:szCs w:val="28"/>
        </w:rPr>
      </w:pPr>
      <w:r w:rsidRPr="004530B8">
        <w:rPr>
          <w:rFonts w:ascii="Arial" w:eastAsia="Roboto" w:hAnsi="Arial" w:cs="Arial"/>
          <w:sz w:val="28"/>
          <w:szCs w:val="28"/>
        </w:rPr>
        <w:t>1</w:t>
      </w:r>
      <w:r w:rsidR="00406187">
        <w:rPr>
          <w:rFonts w:ascii="Arial" w:eastAsia="Roboto" w:hAnsi="Arial" w:cs="Arial"/>
          <w:sz w:val="28"/>
          <w:szCs w:val="28"/>
        </w:rPr>
        <w:t>5</w:t>
      </w:r>
      <w:r w:rsidRPr="004530B8">
        <w:rPr>
          <w:rFonts w:ascii="Arial" w:eastAsia="Roboto" w:hAnsi="Arial" w:cs="Arial"/>
          <w:sz w:val="28"/>
          <w:szCs w:val="28"/>
        </w:rPr>
        <w:t xml:space="preserve"> October 2025</w:t>
      </w:r>
    </w:p>
    <w:p w14:paraId="0000000A" w14:textId="77777777" w:rsidR="00E4171C" w:rsidRDefault="00E4171C">
      <w:pPr>
        <w:rPr>
          <w:rFonts w:ascii="Roboto" w:eastAsia="Roboto" w:hAnsi="Roboto" w:cs="Roboto"/>
          <w:sz w:val="27"/>
          <w:szCs w:val="27"/>
        </w:rPr>
      </w:pPr>
    </w:p>
    <w:p w14:paraId="0000000B" w14:textId="55B42F9F" w:rsidR="00E4171C" w:rsidRDefault="002B2F6D">
      <w:pPr>
        <w:rPr>
          <w:rFonts w:ascii="Roboto" w:eastAsia="Roboto" w:hAnsi="Roboto" w:cs="Roboto"/>
          <w:sz w:val="27"/>
          <w:szCs w:val="27"/>
        </w:rPr>
      </w:pPr>
      <w:r>
        <w:rPr>
          <w:rFonts w:ascii="Roboto" w:eastAsia="Roboto" w:hAnsi="Roboto" w:cs="Roboto"/>
          <w:b/>
          <w:sz w:val="27"/>
          <w:szCs w:val="27"/>
        </w:rPr>
        <w:t xml:space="preserve">Question </w:t>
      </w:r>
      <w:r w:rsidR="007E43AB">
        <w:rPr>
          <w:rFonts w:ascii="Roboto" w:eastAsia="Roboto" w:hAnsi="Roboto" w:cs="Roboto"/>
          <w:b/>
          <w:sz w:val="27"/>
          <w:szCs w:val="27"/>
        </w:rPr>
        <w:t>1</w:t>
      </w:r>
      <w:r w:rsidR="007E43AB">
        <w:rPr>
          <w:rFonts w:ascii="Roboto" w:eastAsia="Roboto" w:hAnsi="Roboto" w:cs="Roboto"/>
          <w:sz w:val="27"/>
          <w:szCs w:val="27"/>
        </w:rPr>
        <w:t>. Do the anti-discrimination legislation and/or policy frameworks in force in your country recognize disability and the denial of reasonable accommodation as prohibited forms of discrimination against persons with disabilities?</w:t>
      </w:r>
    </w:p>
    <w:p w14:paraId="0000000C"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xml:space="preserve"> The anti-discrimination law 67/2006, “Measures for the legal protection of persons with disabilities victims of discrimination," lacks a definition of reasonable accommodation and </w:t>
      </w:r>
      <w:r>
        <w:rPr>
          <w:rFonts w:ascii="Roboto" w:eastAsia="Roboto" w:hAnsi="Roboto" w:cs="Roboto"/>
          <w:b/>
          <w:sz w:val="27"/>
          <w:szCs w:val="27"/>
        </w:rPr>
        <w:t>fails to recognise the denial of reasonable accommodation as a form of discrimination</w:t>
      </w:r>
      <w:r>
        <w:rPr>
          <w:rFonts w:ascii="Roboto" w:eastAsia="Roboto" w:hAnsi="Roboto" w:cs="Roboto"/>
          <w:sz w:val="27"/>
          <w:szCs w:val="27"/>
        </w:rPr>
        <w:t xml:space="preserve">. </w:t>
      </w:r>
    </w:p>
    <w:p w14:paraId="0000000F" w14:textId="719DAECB" w:rsidR="00E4171C" w:rsidRPr="00F85642" w:rsidRDefault="007E43AB">
      <w:pPr>
        <w:spacing w:before="280" w:after="280" w:line="240" w:lineRule="auto"/>
        <w:rPr>
          <w:rFonts w:ascii="Roboto" w:eastAsia="Roboto" w:hAnsi="Roboto" w:cs="Roboto"/>
          <w:sz w:val="27"/>
          <w:szCs w:val="27"/>
        </w:rPr>
      </w:pPr>
      <w:r>
        <w:rPr>
          <w:rFonts w:ascii="Roboto" w:eastAsia="Roboto" w:hAnsi="Roboto" w:cs="Roboto"/>
          <w:sz w:val="27"/>
          <w:szCs w:val="27"/>
        </w:rPr>
        <w:t>The Court of Justice of the European Union ruled against Italy (CJEU, Case C-312/11 European Commission v Italian Republic) on 4 July 2013 for the inadequate transposition of the reasonable accommodation obligation</w:t>
      </w:r>
      <w:r w:rsidR="00B5271E">
        <w:rPr>
          <w:rFonts w:ascii="Roboto" w:eastAsia="Roboto" w:hAnsi="Roboto" w:cs="Roboto"/>
          <w:sz w:val="27"/>
          <w:szCs w:val="27"/>
        </w:rPr>
        <w:t xml:space="preserve"> (</w:t>
      </w:r>
      <w:hyperlink r:id="rId8" w:history="1">
        <w:r w:rsidR="00B5271E">
          <w:rPr>
            <w:rFonts w:ascii="Roboto" w:eastAsia="Roboto" w:hAnsi="Roboto" w:cs="Roboto"/>
            <w:color w:val="1155CC"/>
            <w:sz w:val="27"/>
            <w:szCs w:val="27"/>
            <w:u w:val="single"/>
          </w:rPr>
          <w:t>https://eur-lex.europa.eu/legal-content/EN/TXT/?uri=celex:62011CJ0312</w:t>
        </w:r>
      </w:hyperlink>
      <w:r w:rsidR="00B5271E">
        <w:rPr>
          <w:rFonts w:ascii="Roboto" w:eastAsia="Roboto" w:hAnsi="Roboto" w:cs="Roboto"/>
          <w:sz w:val="27"/>
          <w:szCs w:val="27"/>
        </w:rPr>
        <w:t>)</w:t>
      </w:r>
      <w:r>
        <w:rPr>
          <w:rFonts w:ascii="Roboto" w:eastAsia="Roboto" w:hAnsi="Roboto" w:cs="Roboto"/>
          <w:sz w:val="27"/>
          <w:szCs w:val="27"/>
        </w:rPr>
        <w:t xml:space="preserve">. Consequently, the above-mentioned Law 99/2013 modified Legislative Decree 216/2003 (which transposed EU Directive 78/2000 into national legislation) by </w:t>
      </w:r>
      <w:r>
        <w:rPr>
          <w:rFonts w:ascii="Roboto" w:eastAsia="Roboto" w:hAnsi="Roboto" w:cs="Roboto"/>
          <w:b/>
          <w:sz w:val="27"/>
          <w:szCs w:val="27"/>
        </w:rPr>
        <w:t xml:space="preserve">including a reference to reasonable accommodation, but only regarding the field of employment and vocational training and not in other areas of life. </w:t>
      </w:r>
    </w:p>
    <w:p w14:paraId="00000010" w14:textId="77777777" w:rsidR="00E4171C" w:rsidRDefault="007E43AB">
      <w:pPr>
        <w:spacing w:before="280" w:after="280" w:line="240" w:lineRule="auto"/>
        <w:rPr>
          <w:rFonts w:ascii="Roboto" w:eastAsia="Roboto" w:hAnsi="Roboto" w:cs="Roboto"/>
          <w:b/>
          <w:sz w:val="27"/>
          <w:szCs w:val="27"/>
        </w:rPr>
      </w:pPr>
      <w:r>
        <w:rPr>
          <w:rFonts w:ascii="Roboto" w:eastAsia="Roboto" w:hAnsi="Roboto" w:cs="Roboto"/>
          <w:sz w:val="27"/>
          <w:szCs w:val="27"/>
        </w:rPr>
        <w:t xml:space="preserve">Law No. 107 of 2015 (the "Good School" reform) does not directly define reasonable accommodation, but its application in the educational context was implemented through subsequent legislative decrees, in particular Legislative Decree No. 66 of 2017 and Legislative Decree No. 96 of 2019. These decrees incorporated the principle defined by the UN Convention on the Rights of </w:t>
      </w:r>
      <w:r>
        <w:rPr>
          <w:rFonts w:ascii="Roboto" w:eastAsia="Roboto" w:hAnsi="Roboto" w:cs="Roboto"/>
          <w:sz w:val="27"/>
          <w:szCs w:val="27"/>
        </w:rPr>
        <w:lastRenderedPageBreak/>
        <w:t>Persons with Disabilities, namely the need to introduce necessary and appropriate modifications and adjustments to ensure that persons with disabilities can enjoy their rights on an equal basis with others</w:t>
      </w:r>
      <w:r>
        <w:rPr>
          <w:rFonts w:ascii="Roboto" w:eastAsia="Roboto" w:hAnsi="Roboto" w:cs="Roboto"/>
          <w:b/>
          <w:sz w:val="27"/>
          <w:szCs w:val="27"/>
        </w:rPr>
        <w:t>.</w:t>
      </w:r>
    </w:p>
    <w:p w14:paraId="00000011"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In Legislative Decree n. </w:t>
      </w:r>
      <w:hyperlink r:id="rId9">
        <w:r>
          <w:rPr>
            <w:rFonts w:ascii="Roboto" w:eastAsia="Roboto" w:hAnsi="Roboto" w:cs="Roboto"/>
            <w:color w:val="000000"/>
            <w:sz w:val="27"/>
            <w:szCs w:val="27"/>
            <w:u w:val="single"/>
          </w:rPr>
          <w:t>62/2024</w:t>
        </w:r>
      </w:hyperlink>
      <w:r>
        <w:rPr>
          <w:rFonts w:ascii="Roboto" w:eastAsia="Roboto" w:hAnsi="Roboto" w:cs="Roboto"/>
          <w:sz w:val="27"/>
          <w:szCs w:val="27"/>
        </w:rPr>
        <w:t xml:space="preserve"> (</w:t>
      </w:r>
      <w:r>
        <w:rPr>
          <w:rFonts w:ascii="Roboto" w:eastAsia="Roboto" w:hAnsi="Roboto" w:cs="Roboto"/>
          <w:i/>
          <w:sz w:val="27"/>
          <w:szCs w:val="27"/>
        </w:rPr>
        <w:t>Definition of disability, basic assessment, reasonable accommodation, multidimensional assessment for the development and implementation of personalised and participatory life plans</w:t>
      </w:r>
      <w:r>
        <w:rPr>
          <w:rFonts w:ascii="Roboto" w:eastAsia="Roboto" w:hAnsi="Roboto" w:cs="Roboto"/>
          <w:sz w:val="27"/>
          <w:szCs w:val="27"/>
        </w:rPr>
        <w:t xml:space="preserve">), regarding labour law, a new concept of “reasonable accommodation” is introduced. Article 17 of Legislative Decree No. 62/2024 introduces into Law No. 104/1992 </w:t>
      </w:r>
      <w:hyperlink r:id="rId10">
        <w:r>
          <w:rPr>
            <w:rFonts w:ascii="Roboto" w:eastAsia="Roboto" w:hAnsi="Roboto" w:cs="Roboto"/>
            <w:b/>
            <w:color w:val="000000"/>
            <w:sz w:val="27"/>
            <w:szCs w:val="27"/>
            <w:u w:val="single"/>
          </w:rPr>
          <w:t>Article 5-bis</w:t>
        </w:r>
      </w:hyperlink>
      <w:hyperlink r:id="rId11">
        <w:r>
          <w:rPr>
            <w:rFonts w:ascii="Roboto" w:eastAsia="Roboto" w:hAnsi="Roboto" w:cs="Roboto"/>
            <w:color w:val="000000"/>
            <w:sz w:val="27"/>
            <w:szCs w:val="27"/>
            <w:u w:val="single"/>
          </w:rPr>
          <w:t>, entitled "Reasonable accommodation".</w:t>
        </w:r>
      </w:hyperlink>
    </w:p>
    <w:p w14:paraId="00000012" w14:textId="77777777" w:rsidR="00E4171C" w:rsidRDefault="007E43AB">
      <w:pPr>
        <w:spacing w:before="280" w:after="280" w:line="240" w:lineRule="auto"/>
        <w:rPr>
          <w:rFonts w:ascii="Roboto" w:eastAsia="Roboto" w:hAnsi="Roboto" w:cs="Roboto"/>
          <w:b/>
          <w:sz w:val="27"/>
          <w:szCs w:val="27"/>
        </w:rPr>
      </w:pPr>
      <w:r>
        <w:rPr>
          <w:rFonts w:ascii="Roboto" w:eastAsia="Roboto" w:hAnsi="Roboto" w:cs="Roboto"/>
          <w:sz w:val="27"/>
          <w:szCs w:val="27"/>
        </w:rPr>
        <w:t xml:space="preserve">The reference in Article 5-bis of Law No. 104/1992 to Article 2 of the 2006 UN Convention suggests that the definition of reasonable accommodation introduced by Legislative Decree No. 62/2024 is not limited to the employment sector but is intended to ensure that persons with disabilities </w:t>
      </w:r>
      <w:r>
        <w:rPr>
          <w:rFonts w:ascii="Roboto" w:eastAsia="Roboto" w:hAnsi="Roboto" w:cs="Roboto"/>
          <w:b/>
          <w:sz w:val="27"/>
          <w:szCs w:val="27"/>
        </w:rPr>
        <w:t xml:space="preserve">can exercise all human rights and fundamental freedoms on an equal basis with others. </w:t>
      </w:r>
    </w:p>
    <w:p w14:paraId="00000013" w14:textId="77777777" w:rsidR="00E4171C" w:rsidRDefault="007E43AB">
      <w:pPr>
        <w:pBdr>
          <w:top w:val="nil"/>
          <w:left w:val="nil"/>
          <w:bottom w:val="nil"/>
          <w:right w:val="nil"/>
          <w:between w:val="nil"/>
        </w:pBdr>
        <w:spacing w:after="0" w:line="240" w:lineRule="auto"/>
        <w:rPr>
          <w:rFonts w:ascii="Roboto" w:eastAsia="Roboto" w:hAnsi="Roboto" w:cs="Roboto"/>
          <w:sz w:val="27"/>
          <w:szCs w:val="27"/>
        </w:rPr>
      </w:pPr>
      <w:r>
        <w:rPr>
          <w:rFonts w:ascii="Roboto" w:eastAsia="Roboto" w:hAnsi="Roboto" w:cs="Roboto"/>
          <w:sz w:val="27"/>
          <w:szCs w:val="27"/>
        </w:rPr>
        <w:t>Despite the existing legislative measures, there are numerous examples in Italy that demonstrate how difficult it is to implement reasonable accommodation in practice, both for persons with disabilities and for their caregivers.</w:t>
      </w:r>
    </w:p>
    <w:p w14:paraId="00000014" w14:textId="77777777" w:rsidR="00E4171C" w:rsidRDefault="00E4171C">
      <w:pPr>
        <w:pBdr>
          <w:top w:val="nil"/>
          <w:left w:val="nil"/>
          <w:bottom w:val="nil"/>
          <w:right w:val="nil"/>
          <w:between w:val="nil"/>
        </w:pBdr>
        <w:spacing w:after="0" w:line="240" w:lineRule="auto"/>
        <w:rPr>
          <w:rFonts w:ascii="Roboto" w:eastAsia="Roboto" w:hAnsi="Roboto" w:cs="Roboto"/>
          <w:sz w:val="27"/>
          <w:szCs w:val="27"/>
          <w:highlight w:val="yellow"/>
        </w:rPr>
      </w:pPr>
    </w:p>
    <w:p w14:paraId="00000015" w14:textId="02BF8453"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2</w:t>
      </w:r>
      <w:r w:rsidR="007E43AB">
        <w:rPr>
          <w:rFonts w:ascii="Arial" w:eastAsia="Arial" w:hAnsi="Arial" w:cs="Arial"/>
          <w:sz w:val="28"/>
          <w:szCs w:val="28"/>
        </w:rPr>
        <w:t>. Do</w:t>
      </w:r>
      <w:r w:rsidR="007E43AB">
        <w:rPr>
          <w:rFonts w:ascii="Roboto" w:eastAsia="Roboto" w:hAnsi="Roboto" w:cs="Roboto"/>
          <w:sz w:val="27"/>
          <w:szCs w:val="27"/>
        </w:rPr>
        <w:t xml:space="preserve"> the anti-discrimination legislation and/or policy frameworks in force in your country recognize the multiple and intersecting forms of discrimination affecting women with disabilities on account of their disability and other factors, such as sex, gender, ethnicity, migration status, origin, socio-economic status, religious beliefs, etc.?</w:t>
      </w:r>
    </w:p>
    <w:p w14:paraId="00000016" w14:textId="77777777" w:rsidR="00E4171C" w:rsidRDefault="007E43AB">
      <w:pPr>
        <w:pBdr>
          <w:top w:val="nil"/>
          <w:left w:val="nil"/>
          <w:bottom w:val="nil"/>
          <w:right w:val="nil"/>
          <w:between w:val="nil"/>
        </w:pBdr>
        <w:spacing w:after="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In Italy, legislation focuses either on gender (</w:t>
      </w:r>
      <w:hyperlink r:id="rId12">
        <w:r>
          <w:rPr>
            <w:rFonts w:ascii="Roboto" w:eastAsia="Roboto" w:hAnsi="Roboto" w:cs="Roboto"/>
            <w:color w:val="000000"/>
            <w:sz w:val="27"/>
            <w:szCs w:val="27"/>
            <w:u w:val="single"/>
          </w:rPr>
          <w:t>Legislative Decree 198/2006</w:t>
        </w:r>
      </w:hyperlink>
      <w:r>
        <w:rPr>
          <w:rFonts w:ascii="Roboto" w:eastAsia="Roboto" w:hAnsi="Roboto" w:cs="Roboto"/>
          <w:sz w:val="27"/>
          <w:szCs w:val="27"/>
        </w:rPr>
        <w:t xml:space="preserve">) or on disability </w:t>
      </w:r>
      <w:hyperlink r:id="rId13">
        <w:r>
          <w:rPr>
            <w:rFonts w:ascii="Roboto" w:eastAsia="Roboto" w:hAnsi="Roboto" w:cs="Roboto"/>
            <w:color w:val="000000"/>
            <w:sz w:val="27"/>
            <w:szCs w:val="27"/>
            <w:u w:val="single"/>
          </w:rPr>
          <w:t>(Law 67/06</w:t>
        </w:r>
      </w:hyperlink>
      <w:r>
        <w:rPr>
          <w:rFonts w:ascii="Roboto" w:eastAsia="Roboto" w:hAnsi="Roboto" w:cs="Roboto"/>
          <w:sz w:val="27"/>
          <w:szCs w:val="27"/>
        </w:rPr>
        <w:t>): women with disabilities are never specifically mentioned</w:t>
      </w:r>
      <w:r>
        <w:rPr>
          <w:rFonts w:ascii="Arial" w:eastAsia="Arial" w:hAnsi="Arial" w:cs="Arial"/>
          <w:sz w:val="28"/>
          <w:szCs w:val="28"/>
        </w:rPr>
        <w:t xml:space="preserve">. </w:t>
      </w:r>
      <w:r>
        <w:rPr>
          <w:rFonts w:ascii="Roboto" w:eastAsia="Roboto" w:hAnsi="Roboto" w:cs="Roboto"/>
          <w:sz w:val="27"/>
          <w:szCs w:val="27"/>
        </w:rPr>
        <w:t xml:space="preserve">The existing bodies for detecting and combating discrimination, </w:t>
      </w:r>
      <w:hyperlink r:id="rId14">
        <w:r>
          <w:rPr>
            <w:rFonts w:ascii="Roboto" w:eastAsia="Roboto" w:hAnsi="Roboto" w:cs="Roboto"/>
            <w:b/>
            <w:color w:val="000000"/>
            <w:sz w:val="27"/>
            <w:szCs w:val="27"/>
            <w:u w:val="single"/>
          </w:rPr>
          <w:t>UNAR</w:t>
        </w:r>
      </w:hyperlink>
      <w:r>
        <w:rPr>
          <w:rFonts w:ascii="Roboto" w:eastAsia="Roboto" w:hAnsi="Roboto" w:cs="Roboto"/>
          <w:sz w:val="27"/>
          <w:szCs w:val="27"/>
        </w:rPr>
        <w:t xml:space="preserve">, </w:t>
      </w:r>
      <w:hyperlink r:id="rId15">
        <w:r>
          <w:rPr>
            <w:rFonts w:ascii="Roboto" w:eastAsia="Roboto" w:hAnsi="Roboto" w:cs="Roboto"/>
            <w:color w:val="000000"/>
            <w:sz w:val="27"/>
            <w:szCs w:val="27"/>
            <w:u w:val="single"/>
          </w:rPr>
          <w:t>OSCAD</w:t>
        </w:r>
      </w:hyperlink>
      <w:r>
        <w:rPr>
          <w:rFonts w:ascii="Roboto" w:eastAsia="Roboto" w:hAnsi="Roboto" w:cs="Roboto"/>
          <w:sz w:val="27"/>
          <w:szCs w:val="27"/>
        </w:rPr>
        <w:t xml:space="preserve">, </w:t>
      </w:r>
      <w:hyperlink r:id="rId16">
        <w:r>
          <w:rPr>
            <w:rFonts w:ascii="Roboto" w:eastAsia="Roboto" w:hAnsi="Roboto" w:cs="Roboto"/>
            <w:color w:val="000000"/>
            <w:sz w:val="27"/>
            <w:szCs w:val="27"/>
            <w:u w:val="single"/>
          </w:rPr>
          <w:t>CIDU</w:t>
        </w:r>
      </w:hyperlink>
      <w:r>
        <w:rPr>
          <w:rFonts w:ascii="Roboto" w:eastAsia="Roboto" w:hAnsi="Roboto" w:cs="Roboto"/>
          <w:sz w:val="27"/>
          <w:szCs w:val="27"/>
        </w:rPr>
        <w:t xml:space="preserve">, as well as the </w:t>
      </w:r>
      <w:hyperlink r:id="rId17">
        <w:r>
          <w:rPr>
            <w:rFonts w:ascii="Roboto" w:eastAsia="Roboto" w:hAnsi="Roboto" w:cs="Roboto"/>
            <w:color w:val="000000"/>
            <w:sz w:val="27"/>
            <w:szCs w:val="27"/>
            <w:u w:val="single"/>
          </w:rPr>
          <w:t>Department for Equal Opportunities at the Presidency of the Council of Ministers</w:t>
        </w:r>
      </w:hyperlink>
      <w:r>
        <w:rPr>
          <w:rFonts w:ascii="Roboto" w:eastAsia="Roboto" w:hAnsi="Roboto" w:cs="Roboto"/>
          <w:sz w:val="27"/>
          <w:szCs w:val="27"/>
        </w:rPr>
        <w:t xml:space="preserve">, have a very limited scope of prevention of abuses. Moreover, such bodies </w:t>
      </w:r>
      <w:r>
        <w:rPr>
          <w:rFonts w:ascii="Roboto" w:eastAsia="Roboto" w:hAnsi="Roboto" w:cs="Roboto"/>
          <w:b/>
          <w:sz w:val="27"/>
          <w:szCs w:val="27"/>
        </w:rPr>
        <w:t>do not have a specific mandate to address multiple discrimination, and no sanction or remedies targeting multiple or intersecting forms of discrimination are foreseen in the Italian legislation</w:t>
      </w:r>
      <w:r>
        <w:rPr>
          <w:rFonts w:ascii="Roboto" w:eastAsia="Roboto" w:hAnsi="Roboto" w:cs="Roboto"/>
          <w:sz w:val="27"/>
          <w:szCs w:val="27"/>
        </w:rPr>
        <w:t xml:space="preserve">. This means that a person subjected to multiple forms of discrimination needs to choose the grounds for discrimination to complain about. </w:t>
      </w:r>
    </w:p>
    <w:p w14:paraId="00000017" w14:textId="77777777" w:rsidR="00E4171C" w:rsidRDefault="007E43AB">
      <w:pPr>
        <w:pBdr>
          <w:top w:val="nil"/>
          <w:left w:val="nil"/>
          <w:bottom w:val="nil"/>
          <w:right w:val="nil"/>
          <w:between w:val="nil"/>
        </w:pBdr>
        <w:spacing w:after="0" w:line="240" w:lineRule="auto"/>
        <w:rPr>
          <w:rFonts w:ascii="Roboto" w:eastAsia="Roboto" w:hAnsi="Roboto" w:cs="Roboto"/>
          <w:sz w:val="27"/>
          <w:szCs w:val="27"/>
        </w:rPr>
      </w:pPr>
      <w:r>
        <w:rPr>
          <w:rFonts w:ascii="Roboto" w:eastAsia="Roboto" w:hAnsi="Roboto" w:cs="Roboto"/>
          <w:sz w:val="27"/>
          <w:szCs w:val="27"/>
        </w:rPr>
        <w:t>In 2024, with Legislative Decree No. 20 of 5 February, the Independent Body for the protection and promotion of the rights of persons with disabilities was established. Although a year and a half has passed since its establishment and eight months since the appointment of its members, the body is still not operational. There are concerns about its independence given that its president previously served as chief of staff to the current government's Minister for Disabilities, Alessandra Locatelli. An Ombudsperson’s website has been created (</w:t>
      </w:r>
      <w:hyperlink r:id="rId18">
        <w:r>
          <w:rPr>
            <w:rFonts w:ascii="Roboto" w:eastAsia="Roboto" w:hAnsi="Roboto" w:cs="Roboto"/>
            <w:color w:val="0563C1"/>
            <w:sz w:val="27"/>
            <w:szCs w:val="27"/>
            <w:u w:val="single"/>
          </w:rPr>
          <w:t>www.garantedisabilita.it</w:t>
        </w:r>
      </w:hyperlink>
      <w:r>
        <w:rPr>
          <w:rFonts w:ascii="Roboto" w:eastAsia="Roboto" w:hAnsi="Roboto" w:cs="Roboto"/>
          <w:sz w:val="27"/>
          <w:szCs w:val="27"/>
        </w:rPr>
        <w:t xml:space="preserve">) </w:t>
      </w:r>
    </w:p>
    <w:p w14:paraId="00000018" w14:textId="77777777" w:rsidR="00E4171C" w:rsidRDefault="00E4171C"/>
    <w:p w14:paraId="00000019" w14:textId="18A35D08" w:rsidR="00E4171C" w:rsidRDefault="002B2F6D">
      <w:pPr>
        <w:rPr>
          <w:rFonts w:ascii="Roboto" w:eastAsia="Roboto" w:hAnsi="Roboto" w:cs="Roboto"/>
          <w:sz w:val="27"/>
          <w:szCs w:val="27"/>
        </w:rPr>
      </w:pPr>
      <w:r>
        <w:rPr>
          <w:rFonts w:ascii="Arial" w:eastAsia="Arial" w:hAnsi="Arial" w:cs="Arial"/>
          <w:b/>
          <w:sz w:val="28"/>
          <w:szCs w:val="28"/>
        </w:rPr>
        <w:lastRenderedPageBreak/>
        <w:t xml:space="preserve">Question </w:t>
      </w:r>
      <w:r w:rsidR="007E43AB">
        <w:rPr>
          <w:rFonts w:ascii="Arial" w:eastAsia="Arial" w:hAnsi="Arial" w:cs="Arial"/>
          <w:b/>
          <w:sz w:val="28"/>
          <w:szCs w:val="28"/>
        </w:rPr>
        <w:t>3.</w:t>
      </w:r>
      <w:r w:rsidR="007E43AB">
        <w:rPr>
          <w:rFonts w:ascii="Arial" w:eastAsia="Arial" w:hAnsi="Arial" w:cs="Arial"/>
          <w:sz w:val="28"/>
          <w:szCs w:val="28"/>
        </w:rPr>
        <w:t xml:space="preserve"> </w:t>
      </w:r>
      <w:r w:rsidR="007E43AB">
        <w:rPr>
          <w:rFonts w:ascii="Roboto" w:eastAsia="Roboto" w:hAnsi="Roboto" w:cs="Roboto"/>
          <w:sz w:val="27"/>
          <w:szCs w:val="27"/>
        </w:rPr>
        <w:t> Do authorities in your country collect data reflecting intersectionality between disability and other factors such as sex, gender, ethnicity, migration status, origin, socio-economic status, religious beliefs, etc.</w:t>
      </w:r>
    </w:p>
    <w:p w14:paraId="0000001A"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xml:space="preserve"> First, it should be noted that, under Italian law, women with disabilities are not covered by any legally binding legislation. </w:t>
      </w:r>
    </w:p>
    <w:p w14:paraId="0000001B"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With regard to the general national framework for data collection, the official statistics provided by ISTAT (National Institute for Statistics) do not provide information on the condition of disability in children under 6 years of age, do not cover aspects related to intellectual disability, and persons with disabilities in institutions, and women with disabilities victims of violence are excluded. </w:t>
      </w:r>
    </w:p>
    <w:p w14:paraId="0000001C"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In its 2025 Annual Report, 'The Situation of the Country,' ISTAT states that, in 2023, 2,904,000 persons with disabilities were in Italy, accounting for 5.0 percent of the population. Of these, 1.690.000 were women. So, the official statistics report. </w:t>
      </w:r>
    </w:p>
    <w:p w14:paraId="0000001D"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The lack of data renders girls and women with disabilities invisible both as individuals and as persons with disabilities, as well as in the typical phenomena of the female gender.  </w:t>
      </w:r>
    </w:p>
    <w:p w14:paraId="0000001E"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This shortage of data, statistics, and research on women with disabilities does not highlight the inter-sectoral discrimination that girls and women with disabilities undergo in all areas of their lives, and the consequent lack of adoption of effective policies and adequate legislative measures of protection against discrimination. </w:t>
      </w:r>
    </w:p>
    <w:p w14:paraId="0000001F"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In the field of violence and abuse, the available statistics still do not report data on girls and women with disabilities. </w:t>
      </w:r>
    </w:p>
    <w:p w14:paraId="00000020"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The ISTAT</w:t>
      </w:r>
      <w:r>
        <w:rPr>
          <w:rFonts w:ascii="Roboto" w:eastAsia="Roboto" w:hAnsi="Roboto" w:cs="Roboto"/>
          <w:sz w:val="27"/>
          <w:szCs w:val="27"/>
          <w:vertAlign w:val="superscript"/>
        </w:rPr>
        <w:footnoteReference w:id="1"/>
      </w:r>
      <w:r>
        <w:rPr>
          <w:rFonts w:ascii="Roboto" w:eastAsia="Roboto" w:hAnsi="Roboto" w:cs="Roboto"/>
          <w:sz w:val="27"/>
          <w:szCs w:val="27"/>
        </w:rPr>
        <w:t xml:space="preserve"> document  </w:t>
      </w:r>
      <w:hyperlink r:id="rId19">
        <w:r>
          <w:rPr>
            <w:rFonts w:ascii="Roboto" w:eastAsia="Roboto" w:hAnsi="Roboto" w:cs="Roboto"/>
            <w:color w:val="000000"/>
            <w:sz w:val="27"/>
            <w:szCs w:val="27"/>
            <w:u w:val="single"/>
          </w:rPr>
          <w:t>"Implementation of the Integrated Information System: collection and analysis of data on the phenomenon and on the various articulations"</w:t>
        </w:r>
      </w:hyperlink>
      <w:r>
        <w:rPr>
          <w:rFonts w:ascii="Roboto" w:eastAsia="Roboto" w:hAnsi="Roboto" w:cs="Roboto"/>
          <w:b/>
          <w:sz w:val="27"/>
          <w:szCs w:val="27"/>
        </w:rPr>
        <w:t xml:space="preserve">  does not mention disaggregating data also by disability. </w:t>
      </w:r>
      <w:r>
        <w:rPr>
          <w:rFonts w:ascii="Roboto" w:eastAsia="Roboto" w:hAnsi="Roboto" w:cs="Roboto"/>
          <w:sz w:val="27"/>
          <w:szCs w:val="27"/>
        </w:rPr>
        <w:t xml:space="preserve">In 2022, the Italian Parliament approved  </w:t>
      </w:r>
      <w:hyperlink r:id="rId20">
        <w:r>
          <w:rPr>
            <w:rFonts w:ascii="Roboto" w:eastAsia="Roboto" w:hAnsi="Roboto" w:cs="Roboto"/>
            <w:i/>
            <w:color w:val="000000"/>
            <w:sz w:val="27"/>
            <w:szCs w:val="27"/>
            <w:u w:val="single"/>
          </w:rPr>
          <w:t>“Law 53/2022 Provisions on gender-based violence statistics”</w:t>
        </w:r>
      </w:hyperlink>
      <w:r>
        <w:rPr>
          <w:rFonts w:ascii="Roboto" w:eastAsia="Roboto" w:hAnsi="Roboto" w:cs="Roboto"/>
          <w:sz w:val="27"/>
          <w:szCs w:val="27"/>
        </w:rPr>
        <w:t xml:space="preserve"> and from January 1</w:t>
      </w:r>
      <w:r>
        <w:rPr>
          <w:rFonts w:ascii="Roboto" w:eastAsia="Roboto" w:hAnsi="Roboto" w:cs="Roboto"/>
          <w:sz w:val="27"/>
          <w:szCs w:val="27"/>
          <w:vertAlign w:val="superscript"/>
        </w:rPr>
        <w:t>st</w:t>
      </w:r>
      <w:r>
        <w:rPr>
          <w:rFonts w:ascii="Roboto" w:eastAsia="Roboto" w:hAnsi="Roboto" w:cs="Roboto"/>
          <w:sz w:val="27"/>
          <w:szCs w:val="27"/>
        </w:rPr>
        <w:t xml:space="preserve"> 2023, this law should have begun to be applied. It establishes that statistics and data must be disaggregated by gender </w:t>
      </w:r>
      <w:r>
        <w:rPr>
          <w:rFonts w:ascii="Roboto" w:eastAsia="Roboto" w:hAnsi="Roboto" w:cs="Roboto"/>
          <w:b/>
          <w:sz w:val="27"/>
          <w:szCs w:val="27"/>
        </w:rPr>
        <w:t>but not by disability</w:t>
      </w:r>
      <w:r>
        <w:rPr>
          <w:rFonts w:ascii="Roboto" w:eastAsia="Roboto" w:hAnsi="Roboto" w:cs="Roboto"/>
          <w:sz w:val="27"/>
          <w:szCs w:val="27"/>
        </w:rPr>
        <w:t xml:space="preserve">. </w:t>
      </w:r>
    </w:p>
    <w:p w14:paraId="00000021"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 xml:space="preserve">While the </w:t>
      </w:r>
      <w:r>
        <w:rPr>
          <w:rFonts w:ascii="Roboto" w:eastAsia="Roboto" w:hAnsi="Roboto" w:cs="Roboto"/>
          <w:i/>
          <w:sz w:val="27"/>
          <w:szCs w:val="27"/>
        </w:rPr>
        <w:t>National Strategic Plan on Gender-Based Violence 2025–2027</w:t>
      </w:r>
      <w:r>
        <w:rPr>
          <w:rFonts w:ascii="Roboto" w:eastAsia="Roboto" w:hAnsi="Roboto" w:cs="Roboto"/>
          <w:sz w:val="27"/>
          <w:szCs w:val="27"/>
        </w:rPr>
        <w:t xml:space="preserve"> does not currently provide specific data on women with disabilities, it does acknowledge this gap by committing to conduct dedicated surveys on persons with disabilities, with particular attention to women with disabilities. This </w:t>
      </w:r>
      <w:r>
        <w:rPr>
          <w:rFonts w:ascii="Roboto" w:eastAsia="Roboto" w:hAnsi="Roboto" w:cs="Roboto"/>
          <w:sz w:val="27"/>
          <w:szCs w:val="27"/>
        </w:rPr>
        <w:lastRenderedPageBreak/>
        <w:t>approach aims to strengthen the evidence base and support the development of more inclusive and targeted interventions.</w:t>
      </w:r>
    </w:p>
    <w:p w14:paraId="00000022"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On August 7</w:t>
      </w:r>
      <w:r>
        <w:rPr>
          <w:rFonts w:ascii="Roboto" w:eastAsia="Roboto" w:hAnsi="Roboto" w:cs="Roboto"/>
          <w:sz w:val="27"/>
          <w:szCs w:val="27"/>
          <w:vertAlign w:val="superscript"/>
        </w:rPr>
        <w:t>th</w:t>
      </w:r>
      <w:r>
        <w:rPr>
          <w:rFonts w:ascii="Roboto" w:eastAsia="Roboto" w:hAnsi="Roboto" w:cs="Roboto"/>
          <w:sz w:val="27"/>
          <w:szCs w:val="27"/>
        </w:rPr>
        <w:t xml:space="preserve">, 2023, ISTAT published a research report entitled </w:t>
      </w:r>
      <w:hyperlink r:id="rId21">
        <w:r>
          <w:rPr>
            <w:rFonts w:ascii="Roboto" w:eastAsia="Roboto" w:hAnsi="Roboto" w:cs="Roboto"/>
            <w:color w:val="000000"/>
            <w:sz w:val="27"/>
            <w:szCs w:val="27"/>
            <w:u w:val="single"/>
          </w:rPr>
          <w:t>'Protection System for Women Victims of Violence'</w:t>
        </w:r>
      </w:hyperlink>
      <w:r>
        <w:rPr>
          <w:rFonts w:ascii="Roboto" w:eastAsia="Roboto" w:hAnsi="Roboto" w:cs="Roboto"/>
          <w:sz w:val="27"/>
          <w:szCs w:val="27"/>
        </w:rPr>
        <w:t xml:space="preserve">  2021- 2022. This report contains some data on accessibility in Women’s Shelter and Anti-Violence Centres (CAVs) and Helpline 1522, but the </w:t>
      </w:r>
      <w:r>
        <w:rPr>
          <w:rFonts w:ascii="Roboto" w:eastAsia="Roboto" w:hAnsi="Roboto" w:cs="Roboto"/>
          <w:b/>
          <w:sz w:val="27"/>
          <w:szCs w:val="27"/>
        </w:rPr>
        <w:t>real accessibility of the facilities is not known, and the disability of the victims and direct accessibility to information and to the services are not mentioned</w:t>
      </w:r>
      <w:r>
        <w:rPr>
          <w:rFonts w:ascii="Roboto" w:eastAsia="Roboto" w:hAnsi="Roboto" w:cs="Roboto"/>
          <w:sz w:val="27"/>
          <w:szCs w:val="27"/>
        </w:rPr>
        <w:t>.</w:t>
      </w:r>
    </w:p>
    <w:p w14:paraId="00000023"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sz w:val="27"/>
          <w:szCs w:val="27"/>
        </w:rPr>
        <w:t>In the most recent ongoing survey, ISTAT did not include any questions in the interview on violence against women aimed at identifying discrimination against women with disabilities (</w:t>
      </w:r>
      <w:hyperlink r:id="rId22">
        <w:r>
          <w:rPr>
            <w:rFonts w:ascii="Arial" w:eastAsia="Arial" w:hAnsi="Arial" w:cs="Arial"/>
            <w:color w:val="1155CC"/>
            <w:sz w:val="26"/>
            <w:szCs w:val="26"/>
            <w:u w:val="single"/>
          </w:rPr>
          <w:t>https://www.istat.it/statistiche-per-temi/focus/violenza-sulle-donne/il-fenomeno/violenza-dentro-e-fuori-la-famiglia/il-numero-delle-vittime-e-le-forme-di-violenza/</w:t>
        </w:r>
      </w:hyperlink>
      <w:r>
        <w:rPr>
          <w:rFonts w:ascii="Arial" w:eastAsia="Arial" w:hAnsi="Arial" w:cs="Arial"/>
          <w:sz w:val="26"/>
          <w:szCs w:val="26"/>
        </w:rPr>
        <w:t>)</w:t>
      </w:r>
      <w:r>
        <w:rPr>
          <w:rFonts w:ascii="Roboto" w:eastAsia="Roboto" w:hAnsi="Roboto" w:cs="Roboto"/>
          <w:sz w:val="27"/>
          <w:szCs w:val="27"/>
        </w:rPr>
        <w:t xml:space="preserve">. </w:t>
      </w:r>
    </w:p>
    <w:p w14:paraId="00000024" w14:textId="77777777" w:rsidR="00E4171C" w:rsidRDefault="00E4171C">
      <w:pPr>
        <w:rPr>
          <w:rFonts w:ascii="Arial" w:eastAsia="Arial" w:hAnsi="Arial" w:cs="Arial"/>
          <w:sz w:val="28"/>
          <w:szCs w:val="28"/>
        </w:rPr>
      </w:pPr>
    </w:p>
    <w:p w14:paraId="00000025" w14:textId="1A768A5C"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4</w:t>
      </w:r>
      <w:r w:rsidR="007E43AB">
        <w:rPr>
          <w:rFonts w:ascii="Arial" w:eastAsia="Arial" w:hAnsi="Arial" w:cs="Arial"/>
          <w:sz w:val="28"/>
          <w:szCs w:val="28"/>
        </w:rPr>
        <w:t xml:space="preserve">. </w:t>
      </w:r>
      <w:r w:rsidR="007E43AB">
        <w:rPr>
          <w:rFonts w:ascii="Roboto" w:eastAsia="Roboto" w:hAnsi="Roboto" w:cs="Roboto"/>
          <w:sz w:val="27"/>
          <w:szCs w:val="27"/>
        </w:rPr>
        <w:t>Which groups of women and girls with disabilities face the greatest risks of multiple and intersectional discrimination? For example: - Women and girls with disabilities living in rural or remote areas; - Women and girls with disabilities from ethnic or racial minorities; - Indigenous women and girls with disabilities; - Migrant, asylum-seeking, or refugee women and girls with disabilities; - Older women with disabilities; - Young girls with disabilities; - Women and girls with intellectual or psychosocial disabilities; - Women and girls with disabilities living in institutions.</w:t>
      </w:r>
    </w:p>
    <w:p w14:paraId="00000026"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xml:space="preserve"> Girls and women with disabilities face numerous challenges, including physical, perceptual, and communication barriers; a lack of or inadequate support services; prejudice and stereotypes related to disability; difficulties in exercising their right to education and employment on an equal basis with others; limited access to health services; underrepresentation in leadership and decision-making positions (not only in politics); inadequate media representation; and limited access to justice.</w:t>
      </w:r>
    </w:p>
    <w:p w14:paraId="00000027"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Girls and women with disabilities who live in</w:t>
      </w:r>
      <w:r>
        <w:rPr>
          <w:rFonts w:ascii="Roboto" w:eastAsia="Roboto" w:hAnsi="Roboto" w:cs="Roboto"/>
          <w:b/>
          <w:sz w:val="27"/>
          <w:szCs w:val="27"/>
        </w:rPr>
        <w:t xml:space="preserve"> institutional settings</w:t>
      </w:r>
      <w:r>
        <w:rPr>
          <w:rFonts w:ascii="Roboto" w:eastAsia="Roboto" w:hAnsi="Roboto" w:cs="Roboto"/>
          <w:sz w:val="27"/>
          <w:szCs w:val="27"/>
        </w:rPr>
        <w:t>, those with intellectual or psychosocial disabilities, migrant women with disabilities, and those deprived of legal capacity are at an even higher risk of harmful practices, discrimination, and intersecting forms of marginalization.</w:t>
      </w:r>
    </w:p>
    <w:p w14:paraId="00000028"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Visually impaired women</w:t>
      </w:r>
      <w:r>
        <w:rPr>
          <w:rFonts w:ascii="Roboto" w:eastAsia="Roboto" w:hAnsi="Roboto" w:cs="Roboto"/>
          <w:b/>
          <w:sz w:val="27"/>
          <w:szCs w:val="27"/>
        </w:rPr>
        <w:t xml:space="preserve"> in rural areas</w:t>
      </w:r>
      <w:r>
        <w:rPr>
          <w:rFonts w:ascii="Roboto" w:eastAsia="Roboto" w:hAnsi="Roboto" w:cs="Roboto"/>
          <w:sz w:val="27"/>
          <w:szCs w:val="27"/>
        </w:rPr>
        <w:t xml:space="preserve"> often struggle to access services without accompaniment. Deaf women face additional barriers due to linguistic minority status, the need for sign language interpreters or communication aids, and challenges in exercising self-determination, as decisions are often made on their behalf.</w:t>
      </w:r>
    </w:p>
    <w:p w14:paraId="00000029"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lastRenderedPageBreak/>
        <w:t>In recent days, cases have been reported of sexual violence against women with disabilities residing in an institution in Lombardy (</w:t>
      </w:r>
      <w:hyperlink r:id="rId23">
        <w:r>
          <w:rPr>
            <w:rFonts w:ascii="Roboto" w:eastAsia="Roboto" w:hAnsi="Roboto" w:cs="Roboto"/>
            <w:color w:val="1155CC"/>
            <w:sz w:val="27"/>
            <w:szCs w:val="27"/>
            <w:u w:val="single"/>
          </w:rPr>
          <w:t>https://www.quicomo.it/cronaca/orrore-comunita-disabili-cantu-abusi-sessuali-film-hard-arresto.html</w:t>
        </w:r>
      </w:hyperlink>
      <w:r>
        <w:rPr>
          <w:rFonts w:ascii="Roboto" w:eastAsia="Roboto" w:hAnsi="Roboto" w:cs="Roboto"/>
          <w:sz w:val="27"/>
          <w:szCs w:val="27"/>
        </w:rPr>
        <w:t xml:space="preserve">). </w:t>
      </w:r>
    </w:p>
    <w:p w14:paraId="0000002B" w14:textId="304F1A01"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5</w:t>
      </w:r>
      <w:r w:rsidR="007E43AB">
        <w:rPr>
          <w:rFonts w:ascii="Arial" w:eastAsia="Arial" w:hAnsi="Arial" w:cs="Arial"/>
          <w:sz w:val="28"/>
          <w:szCs w:val="28"/>
        </w:rPr>
        <w:t xml:space="preserve">. </w:t>
      </w:r>
      <w:r w:rsidR="007E43AB">
        <w:rPr>
          <w:rFonts w:ascii="Roboto" w:eastAsia="Roboto" w:hAnsi="Roboto" w:cs="Roboto"/>
          <w:sz w:val="27"/>
          <w:szCs w:val="27"/>
        </w:rPr>
        <w:t xml:space="preserve"> What are the main Intersectional risks and forms of discrimination faced by women and girls with disabilities? Do you consider that the violence and discrimination against women and girls with disabilities is due to two or more personal characteristics, or that is </w:t>
      </w:r>
      <w:proofErr w:type="spellStart"/>
      <w:r w:rsidR="007E43AB">
        <w:rPr>
          <w:rFonts w:ascii="Roboto" w:eastAsia="Roboto" w:hAnsi="Roboto" w:cs="Roboto"/>
          <w:sz w:val="27"/>
          <w:szCs w:val="27"/>
        </w:rPr>
        <w:t>colored</w:t>
      </w:r>
      <w:proofErr w:type="spellEnd"/>
      <w:r w:rsidR="007E43AB">
        <w:rPr>
          <w:rFonts w:ascii="Roboto" w:eastAsia="Roboto" w:hAnsi="Roboto" w:cs="Roboto"/>
          <w:sz w:val="27"/>
          <w:szCs w:val="27"/>
        </w:rPr>
        <w:t xml:space="preserve"> by these characteristics? For example: being a woman with a disability and indigenous; being a woman with a disability and living with albinism; being a woman with a disability and also an elderly; being a woman with disability and also a child or teenager; being a woman with a disability and a migrant or an asylum seeker, or a person seeking international protection or a refugee; a member of the LGBTIQ+ community; or being someone with diverse sexual orientation or gender identity. Please specify.</w:t>
      </w:r>
    </w:p>
    <w:p w14:paraId="0000002C"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xml:space="preserve"> Girls and women with disabilities are often denied opportunities to speak up, express their thoughts and opinions, and take control of conversations. This lack of voice and visibility contributes to their exclusion from social, educational, and institutional life.</w:t>
      </w:r>
    </w:p>
    <w:p w14:paraId="0000002D" w14:textId="77777777" w:rsidR="00E4171C" w:rsidRDefault="007E43AB">
      <w:pPr>
        <w:spacing w:before="240" w:after="240" w:line="240" w:lineRule="auto"/>
        <w:rPr>
          <w:rFonts w:ascii="Roboto" w:eastAsia="Roboto" w:hAnsi="Roboto" w:cs="Roboto"/>
          <w:b/>
          <w:sz w:val="27"/>
          <w:szCs w:val="27"/>
        </w:rPr>
      </w:pPr>
      <w:r>
        <w:rPr>
          <w:rFonts w:ascii="Roboto" w:eastAsia="Roboto" w:hAnsi="Roboto" w:cs="Roboto"/>
          <w:b/>
          <w:sz w:val="27"/>
          <w:szCs w:val="27"/>
        </w:rPr>
        <w:t>Main intersectional risks and forms of discrimination:</w:t>
      </w:r>
    </w:p>
    <w:p w14:paraId="0000002E" w14:textId="77777777" w:rsidR="00E4171C" w:rsidRDefault="007E43AB">
      <w:pPr>
        <w:numPr>
          <w:ilvl w:val="0"/>
          <w:numId w:val="1"/>
        </w:numPr>
        <w:spacing w:before="240" w:after="0" w:line="240" w:lineRule="auto"/>
        <w:rPr>
          <w:rFonts w:ascii="Roboto" w:eastAsia="Roboto" w:hAnsi="Roboto" w:cs="Roboto"/>
          <w:sz w:val="27"/>
          <w:szCs w:val="27"/>
        </w:rPr>
      </w:pPr>
      <w:r>
        <w:rPr>
          <w:rFonts w:ascii="Roboto" w:eastAsia="Roboto" w:hAnsi="Roboto" w:cs="Roboto"/>
          <w:b/>
          <w:sz w:val="27"/>
          <w:szCs w:val="27"/>
        </w:rPr>
        <w:t>Absence of targeted programmes:</w:t>
      </w:r>
      <w:r>
        <w:rPr>
          <w:rFonts w:ascii="Roboto" w:eastAsia="Roboto" w:hAnsi="Roboto" w:cs="Roboto"/>
          <w:sz w:val="27"/>
          <w:szCs w:val="27"/>
        </w:rPr>
        <w:t xml:space="preserve"> There are no specific initiatives for </w:t>
      </w:r>
      <w:r>
        <w:rPr>
          <w:rFonts w:ascii="Roboto" w:eastAsia="Roboto" w:hAnsi="Roboto" w:cs="Roboto"/>
          <w:b/>
          <w:sz w:val="27"/>
          <w:szCs w:val="27"/>
        </w:rPr>
        <w:t>migrant or refugee women with disabilities</w:t>
      </w:r>
      <w:r>
        <w:rPr>
          <w:rFonts w:ascii="Roboto" w:eastAsia="Roboto" w:hAnsi="Roboto" w:cs="Roboto"/>
          <w:sz w:val="27"/>
          <w:szCs w:val="27"/>
        </w:rPr>
        <w:t>, despite their exposure to multiple and intersecting discrimination based on gender, disability, and migration status.</w:t>
      </w:r>
      <w:r>
        <w:rPr>
          <w:rFonts w:ascii="Roboto" w:eastAsia="Roboto" w:hAnsi="Roboto" w:cs="Roboto"/>
          <w:sz w:val="27"/>
          <w:szCs w:val="27"/>
        </w:rPr>
        <w:br/>
      </w:r>
    </w:p>
    <w:p w14:paraId="0000002F" w14:textId="77777777" w:rsidR="00E4171C" w:rsidRDefault="007E43AB">
      <w:pPr>
        <w:numPr>
          <w:ilvl w:val="0"/>
          <w:numId w:val="1"/>
        </w:numPr>
        <w:spacing w:after="0" w:line="240" w:lineRule="auto"/>
        <w:rPr>
          <w:rFonts w:ascii="Roboto" w:eastAsia="Roboto" w:hAnsi="Roboto" w:cs="Roboto"/>
          <w:sz w:val="27"/>
          <w:szCs w:val="27"/>
        </w:rPr>
      </w:pPr>
      <w:r>
        <w:rPr>
          <w:rFonts w:ascii="Roboto" w:eastAsia="Roboto" w:hAnsi="Roboto" w:cs="Roboto"/>
          <w:b/>
          <w:sz w:val="27"/>
          <w:szCs w:val="27"/>
        </w:rPr>
        <w:t>Limited professional training:</w:t>
      </w:r>
      <w:r>
        <w:rPr>
          <w:rFonts w:ascii="Roboto" w:eastAsia="Roboto" w:hAnsi="Roboto" w:cs="Roboto"/>
          <w:sz w:val="27"/>
          <w:szCs w:val="27"/>
        </w:rPr>
        <w:t xml:space="preserve"> The association </w:t>
      </w:r>
      <w:r>
        <w:rPr>
          <w:rFonts w:ascii="Roboto" w:eastAsia="Roboto" w:hAnsi="Roboto" w:cs="Roboto"/>
          <w:b/>
          <w:sz w:val="27"/>
          <w:szCs w:val="27"/>
        </w:rPr>
        <w:t>ASMED</w:t>
      </w:r>
      <w:r>
        <w:rPr>
          <w:rFonts w:ascii="Roboto" w:eastAsia="Roboto" w:hAnsi="Roboto" w:cs="Roboto"/>
          <w:sz w:val="27"/>
          <w:szCs w:val="27"/>
        </w:rPr>
        <w:t xml:space="preserve"> (</w:t>
      </w:r>
      <w:hyperlink r:id="rId24">
        <w:r>
          <w:rPr>
            <w:rFonts w:ascii="Roboto" w:eastAsia="Roboto" w:hAnsi="Roboto" w:cs="Roboto"/>
            <w:color w:val="1155CC"/>
            <w:sz w:val="27"/>
            <w:szCs w:val="27"/>
            <w:u w:val="single"/>
          </w:rPr>
          <w:t>associazioneasmed.it</w:t>
        </w:r>
      </w:hyperlink>
      <w:r>
        <w:rPr>
          <w:rFonts w:ascii="Roboto" w:eastAsia="Roboto" w:hAnsi="Roboto" w:cs="Roboto"/>
          <w:sz w:val="27"/>
          <w:szCs w:val="27"/>
        </w:rPr>
        <w:t>) provides training for healthcare professionals working with persons with disabilities, but these activities are limited to a few hospitals and not implemented nationwide.</w:t>
      </w:r>
      <w:r>
        <w:rPr>
          <w:rFonts w:ascii="Roboto" w:eastAsia="Roboto" w:hAnsi="Roboto" w:cs="Roboto"/>
          <w:sz w:val="27"/>
          <w:szCs w:val="27"/>
        </w:rPr>
        <w:br/>
      </w:r>
    </w:p>
    <w:p w14:paraId="00000030" w14:textId="77777777" w:rsidR="00E4171C" w:rsidRDefault="007E43AB">
      <w:pPr>
        <w:numPr>
          <w:ilvl w:val="0"/>
          <w:numId w:val="1"/>
        </w:numPr>
        <w:spacing w:after="0" w:line="240" w:lineRule="auto"/>
        <w:rPr>
          <w:rFonts w:ascii="Roboto" w:eastAsia="Roboto" w:hAnsi="Roboto" w:cs="Roboto"/>
          <w:sz w:val="27"/>
          <w:szCs w:val="27"/>
        </w:rPr>
      </w:pPr>
      <w:r>
        <w:rPr>
          <w:rFonts w:ascii="Roboto" w:eastAsia="Roboto" w:hAnsi="Roboto" w:cs="Roboto"/>
          <w:b/>
          <w:sz w:val="27"/>
          <w:szCs w:val="27"/>
        </w:rPr>
        <w:t>Institutional exclusion:</w:t>
      </w:r>
      <w:r>
        <w:rPr>
          <w:rFonts w:ascii="Roboto" w:eastAsia="Roboto" w:hAnsi="Roboto" w:cs="Roboto"/>
          <w:b/>
          <w:sz w:val="27"/>
          <w:szCs w:val="27"/>
        </w:rPr>
        <w:br/>
      </w:r>
      <w:r>
        <w:rPr>
          <w:rFonts w:ascii="Roboto" w:eastAsia="Roboto" w:hAnsi="Roboto" w:cs="Roboto"/>
          <w:sz w:val="27"/>
          <w:szCs w:val="27"/>
        </w:rPr>
        <w:t xml:space="preserve"> As highlighted by </w:t>
      </w:r>
      <w:r>
        <w:rPr>
          <w:rFonts w:ascii="Roboto" w:eastAsia="Roboto" w:hAnsi="Roboto" w:cs="Roboto"/>
          <w:b/>
          <w:sz w:val="27"/>
          <w:szCs w:val="27"/>
        </w:rPr>
        <w:t xml:space="preserve">Simona </w:t>
      </w:r>
      <w:proofErr w:type="spellStart"/>
      <w:r>
        <w:rPr>
          <w:rFonts w:ascii="Roboto" w:eastAsia="Roboto" w:hAnsi="Roboto" w:cs="Roboto"/>
          <w:b/>
          <w:sz w:val="27"/>
          <w:szCs w:val="27"/>
        </w:rPr>
        <w:t>Lancioni</w:t>
      </w:r>
      <w:proofErr w:type="spellEnd"/>
      <w:r>
        <w:rPr>
          <w:rFonts w:ascii="Roboto" w:eastAsia="Roboto" w:hAnsi="Roboto" w:cs="Roboto"/>
          <w:sz w:val="27"/>
          <w:szCs w:val="27"/>
        </w:rPr>
        <w:t xml:space="preserve"> in </w:t>
      </w:r>
      <w:r>
        <w:rPr>
          <w:rFonts w:ascii="Roboto" w:eastAsia="Roboto" w:hAnsi="Roboto" w:cs="Roboto"/>
          <w:i/>
          <w:sz w:val="27"/>
          <w:szCs w:val="27"/>
        </w:rPr>
        <w:t>“Disability in the Allocation of State Resources for Anti-Violence Centres and Shelters”</w:t>
      </w:r>
      <w:r>
        <w:rPr>
          <w:rFonts w:ascii="Roboto" w:eastAsia="Roboto" w:hAnsi="Roboto" w:cs="Roboto"/>
          <w:sz w:val="27"/>
          <w:szCs w:val="27"/>
        </w:rPr>
        <w:t xml:space="preserve"> (</w:t>
      </w:r>
      <w:hyperlink r:id="rId25">
        <w:r>
          <w:rPr>
            <w:rFonts w:ascii="Roboto" w:eastAsia="Roboto" w:hAnsi="Roboto" w:cs="Roboto"/>
            <w:color w:val="1155CC"/>
            <w:sz w:val="27"/>
            <w:szCs w:val="27"/>
            <w:u w:val="single"/>
          </w:rPr>
          <w:t>link</w:t>
        </w:r>
      </w:hyperlink>
      <w:r>
        <w:rPr>
          <w:rFonts w:ascii="Roboto" w:eastAsia="Roboto" w:hAnsi="Roboto" w:cs="Roboto"/>
          <w:sz w:val="27"/>
          <w:szCs w:val="27"/>
        </w:rPr>
        <w:t>), the 2024 decrees of the Department for Equal Opportunities allocate resources for anti-violence centres and shelters but only partially address disability.</w:t>
      </w:r>
      <w:r>
        <w:rPr>
          <w:rFonts w:ascii="Roboto" w:eastAsia="Roboto" w:hAnsi="Roboto" w:cs="Roboto"/>
          <w:sz w:val="27"/>
          <w:szCs w:val="27"/>
        </w:rPr>
        <w:br/>
        <w:t xml:space="preserve"> While they appropriately recognize the specific needs of migrant and refugee women, there is no similar provision for women with disabilities and no reference to accessibility in information, communication, or training. Although regions are required to report on the accessibility of services, the criteria remain general and undefined—raising questions about who evaluates accessibility and whether staff are adequately trained </w:t>
      </w:r>
      <w:r>
        <w:rPr>
          <w:rFonts w:ascii="Roboto" w:eastAsia="Roboto" w:hAnsi="Roboto" w:cs="Roboto"/>
          <w:sz w:val="27"/>
          <w:szCs w:val="27"/>
        </w:rPr>
        <w:lastRenderedPageBreak/>
        <w:t>to support women with diverse disabilities.</w:t>
      </w:r>
      <w:r>
        <w:rPr>
          <w:rFonts w:ascii="Roboto" w:eastAsia="Roboto" w:hAnsi="Roboto" w:cs="Roboto"/>
          <w:sz w:val="27"/>
          <w:szCs w:val="27"/>
        </w:rPr>
        <w:br/>
      </w:r>
    </w:p>
    <w:p w14:paraId="00000031" w14:textId="77777777" w:rsidR="00E4171C" w:rsidRDefault="007E43AB">
      <w:pPr>
        <w:numPr>
          <w:ilvl w:val="0"/>
          <w:numId w:val="1"/>
        </w:numPr>
        <w:spacing w:after="0" w:line="240" w:lineRule="auto"/>
      </w:pPr>
      <w:r>
        <w:rPr>
          <w:rFonts w:ascii="Roboto" w:eastAsia="Roboto" w:hAnsi="Roboto" w:cs="Roboto"/>
          <w:b/>
          <w:sz w:val="27"/>
          <w:szCs w:val="27"/>
        </w:rPr>
        <w:t>Denial of reproductive rights:</w:t>
      </w:r>
      <w:r>
        <w:rPr>
          <w:rFonts w:ascii="Roboto" w:eastAsia="Roboto" w:hAnsi="Roboto" w:cs="Roboto"/>
          <w:sz w:val="27"/>
          <w:szCs w:val="27"/>
        </w:rPr>
        <w:t xml:space="preserve"> Support for motherhood and reproductive health remains scarce. The </w:t>
      </w:r>
      <w:proofErr w:type="spellStart"/>
      <w:r>
        <w:rPr>
          <w:rFonts w:ascii="Roboto" w:eastAsia="Roboto" w:hAnsi="Roboto" w:cs="Roboto"/>
          <w:b/>
          <w:sz w:val="27"/>
          <w:szCs w:val="27"/>
        </w:rPr>
        <w:t>Associazione</w:t>
      </w:r>
      <w:proofErr w:type="spellEnd"/>
      <w:r>
        <w:rPr>
          <w:rFonts w:ascii="Roboto" w:eastAsia="Roboto" w:hAnsi="Roboto" w:cs="Roboto"/>
          <w:b/>
          <w:sz w:val="27"/>
          <w:szCs w:val="27"/>
        </w:rPr>
        <w:t xml:space="preserve"> </w:t>
      </w:r>
      <w:proofErr w:type="spellStart"/>
      <w:r>
        <w:rPr>
          <w:rFonts w:ascii="Roboto" w:eastAsia="Roboto" w:hAnsi="Roboto" w:cs="Roboto"/>
          <w:b/>
          <w:sz w:val="27"/>
          <w:szCs w:val="27"/>
        </w:rPr>
        <w:t>Disabilmente</w:t>
      </w:r>
      <w:proofErr w:type="spellEnd"/>
      <w:r>
        <w:rPr>
          <w:rFonts w:ascii="Roboto" w:eastAsia="Roboto" w:hAnsi="Roboto" w:cs="Roboto"/>
          <w:b/>
          <w:sz w:val="27"/>
          <w:szCs w:val="27"/>
        </w:rPr>
        <w:t xml:space="preserve"> </w:t>
      </w:r>
      <w:proofErr w:type="spellStart"/>
      <w:r>
        <w:rPr>
          <w:rFonts w:ascii="Roboto" w:eastAsia="Roboto" w:hAnsi="Roboto" w:cs="Roboto"/>
          <w:b/>
          <w:sz w:val="27"/>
          <w:szCs w:val="27"/>
        </w:rPr>
        <w:t>Mamme</w:t>
      </w:r>
      <w:proofErr w:type="spellEnd"/>
      <w:r>
        <w:rPr>
          <w:rFonts w:ascii="Roboto" w:eastAsia="Roboto" w:hAnsi="Roboto" w:cs="Roboto"/>
          <w:sz w:val="27"/>
          <w:szCs w:val="27"/>
        </w:rPr>
        <w:t xml:space="preserve"> (</w:t>
      </w:r>
      <w:hyperlink r:id="rId26">
        <w:r>
          <w:rPr>
            <w:rFonts w:ascii="Roboto" w:eastAsia="Roboto" w:hAnsi="Roboto" w:cs="Roboto"/>
            <w:color w:val="1155CC"/>
            <w:sz w:val="27"/>
            <w:szCs w:val="27"/>
            <w:u w:val="single"/>
          </w:rPr>
          <w:t>disabilmentemamme.it</w:t>
        </w:r>
      </w:hyperlink>
      <w:r>
        <w:rPr>
          <w:rFonts w:ascii="Roboto" w:eastAsia="Roboto" w:hAnsi="Roboto" w:cs="Roboto"/>
          <w:sz w:val="27"/>
          <w:szCs w:val="27"/>
        </w:rPr>
        <w:t>) offers dedicated assistance, but such services are limited and unevenly distributed</w:t>
      </w:r>
      <w:r w:rsidRPr="002B2F6D">
        <w:rPr>
          <w:rFonts w:ascii="Roboto" w:eastAsia="Roboto" w:hAnsi="Roboto" w:cs="Roboto"/>
          <w:sz w:val="27"/>
          <w:szCs w:val="27"/>
        </w:rPr>
        <w:t xml:space="preserve">. </w:t>
      </w:r>
      <w:r w:rsidRPr="002B2F6D">
        <w:rPr>
          <w:rFonts w:ascii="Times New Roman" w:eastAsia="Times New Roman" w:hAnsi="Times New Roman" w:cs="Times New Roman"/>
          <w:sz w:val="14"/>
          <w:szCs w:val="14"/>
        </w:rPr>
        <w:t xml:space="preserve"> </w:t>
      </w:r>
      <w:r w:rsidRPr="002B2F6D">
        <w:rPr>
          <w:rFonts w:ascii="Roboto" w:eastAsia="Roboto" w:hAnsi="Roboto" w:cs="Roboto"/>
          <w:sz w:val="27"/>
          <w:szCs w:val="27"/>
        </w:rPr>
        <w:t>Forced sterilisation and abortion, and forced contraception are the most common forms of rights violations that many women and girls with disabilities suffer, without having given their consent or fully understanding the purposes behind them.</w:t>
      </w:r>
      <w:r>
        <w:rPr>
          <w:rFonts w:ascii="Roboto" w:eastAsia="Roboto" w:hAnsi="Roboto" w:cs="Roboto"/>
          <w:sz w:val="27"/>
          <w:szCs w:val="27"/>
        </w:rPr>
        <w:br/>
      </w:r>
    </w:p>
    <w:p w14:paraId="00000032" w14:textId="77777777" w:rsidR="00E4171C" w:rsidRDefault="007E43AB">
      <w:pPr>
        <w:numPr>
          <w:ilvl w:val="0"/>
          <w:numId w:val="1"/>
        </w:numPr>
        <w:spacing w:after="240" w:line="240" w:lineRule="auto"/>
        <w:rPr>
          <w:rFonts w:ascii="Roboto" w:eastAsia="Roboto" w:hAnsi="Roboto" w:cs="Roboto"/>
          <w:sz w:val="27"/>
          <w:szCs w:val="27"/>
        </w:rPr>
      </w:pPr>
      <w:r>
        <w:rPr>
          <w:rFonts w:ascii="Roboto" w:eastAsia="Roboto" w:hAnsi="Roboto" w:cs="Roboto"/>
          <w:b/>
          <w:sz w:val="27"/>
          <w:szCs w:val="27"/>
        </w:rPr>
        <w:t>Lack of professional awareness:</w:t>
      </w:r>
      <w:r>
        <w:rPr>
          <w:rFonts w:ascii="Roboto" w:eastAsia="Roboto" w:hAnsi="Roboto" w:cs="Roboto"/>
          <w:sz w:val="27"/>
          <w:szCs w:val="27"/>
        </w:rPr>
        <w:t xml:space="preserve"> Service providers often lack the cultural and professional tools to adequately respond to the needs of women with disabilities, resulting in further exclusion and inadequate support.</w:t>
      </w:r>
      <w:r>
        <w:rPr>
          <w:rFonts w:ascii="Roboto" w:eastAsia="Roboto" w:hAnsi="Roboto" w:cs="Roboto"/>
          <w:sz w:val="27"/>
          <w:szCs w:val="27"/>
        </w:rPr>
        <w:br/>
      </w:r>
    </w:p>
    <w:p w14:paraId="00000033"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Overall, women with disabilities—especially those who are migrants, mothers, or have intellectual or psychosocial disabilities—face compounded discrimination across multiple domains, reflecting persistent structural and cultural barriers.</w:t>
      </w:r>
    </w:p>
    <w:p w14:paraId="00000036" w14:textId="1DF27ABD"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6</w:t>
      </w:r>
      <w:r w:rsidR="007E43AB">
        <w:rPr>
          <w:rFonts w:ascii="Arial" w:eastAsia="Arial" w:hAnsi="Arial" w:cs="Arial"/>
          <w:sz w:val="28"/>
          <w:szCs w:val="28"/>
        </w:rPr>
        <w:t xml:space="preserve">. </w:t>
      </w:r>
      <w:r w:rsidR="007E43AB">
        <w:rPr>
          <w:rFonts w:ascii="Roboto" w:eastAsia="Roboto" w:hAnsi="Roboto" w:cs="Roboto"/>
          <w:sz w:val="27"/>
          <w:szCs w:val="27"/>
        </w:rPr>
        <w:t> Describe the areas of life in which women and girls with disabilities exposed to multiple and intersecting forms of discrimination are more excluded from the access and enjoyment of their rights. (examples: in housing, access to justice, employment, political participation, etc.)</w:t>
      </w:r>
    </w:p>
    <w:p w14:paraId="00000037" w14:textId="77777777" w:rsidR="00E4171C" w:rsidRDefault="007E43AB">
      <w:pPr>
        <w:spacing w:before="240" w:after="240" w:line="240" w:lineRule="auto"/>
        <w:rPr>
          <w:rFonts w:ascii="Roboto" w:eastAsia="Roboto" w:hAnsi="Roboto" w:cs="Roboto"/>
          <w:b/>
          <w:sz w:val="27"/>
          <w:szCs w:val="27"/>
        </w:rPr>
      </w:pPr>
      <w:r>
        <w:rPr>
          <w:rFonts w:ascii="Roboto" w:eastAsia="Roboto" w:hAnsi="Roboto" w:cs="Roboto"/>
          <w:b/>
          <w:sz w:val="27"/>
          <w:szCs w:val="27"/>
        </w:rPr>
        <w:t xml:space="preserve">Answer: </w:t>
      </w:r>
      <w:r>
        <w:rPr>
          <w:rFonts w:ascii="Roboto" w:eastAsia="Roboto" w:hAnsi="Roboto" w:cs="Roboto"/>
          <w:sz w:val="27"/>
          <w:szCs w:val="27"/>
        </w:rPr>
        <w:t>Women with disabilities often face barriers in education, employment, access to healthcare, and participation in public and political life. They are also at higher risk of poverty, social exclusion, and gender-based violence</w:t>
      </w:r>
      <w:r>
        <w:rPr>
          <w:rFonts w:ascii="Roboto" w:eastAsia="Roboto" w:hAnsi="Roboto" w:cs="Roboto"/>
          <w:b/>
          <w:sz w:val="27"/>
          <w:szCs w:val="27"/>
        </w:rPr>
        <w:t>.</w:t>
      </w:r>
    </w:p>
    <w:p w14:paraId="00000038" w14:textId="77777777" w:rsidR="00E4171C" w:rsidRPr="002B2F6D" w:rsidRDefault="007E43AB">
      <w:pPr>
        <w:spacing w:before="240" w:after="240" w:line="256" w:lineRule="auto"/>
        <w:rPr>
          <w:rFonts w:ascii="Roboto" w:eastAsia="Roboto" w:hAnsi="Roboto" w:cs="Roboto"/>
          <w:sz w:val="27"/>
          <w:szCs w:val="27"/>
        </w:rPr>
      </w:pPr>
      <w:r>
        <w:rPr>
          <w:rFonts w:ascii="Arial" w:eastAsia="Arial" w:hAnsi="Arial" w:cs="Arial"/>
          <w:b/>
          <w:sz w:val="28"/>
          <w:szCs w:val="28"/>
        </w:rPr>
        <w:t>Employment:</w:t>
      </w:r>
      <w:r>
        <w:rPr>
          <w:rFonts w:ascii="Arial" w:eastAsia="Arial" w:hAnsi="Arial" w:cs="Arial"/>
          <w:sz w:val="34"/>
          <w:szCs w:val="34"/>
        </w:rPr>
        <w:t xml:space="preserve"> </w:t>
      </w:r>
      <w:r>
        <w:rPr>
          <w:rFonts w:ascii="Arial" w:eastAsia="Arial" w:hAnsi="Arial" w:cs="Arial"/>
          <w:sz w:val="28"/>
          <w:szCs w:val="28"/>
        </w:rPr>
        <w:t>Women with disabilities experience a double disadvantage due to both gender bias and ableism. They often encounter discrimination in hiring, limited career advancement opportunities, and inadequate workplace accommodations</w:t>
      </w:r>
      <w:r>
        <w:rPr>
          <w:rFonts w:ascii="Arial" w:eastAsia="Arial" w:hAnsi="Arial" w:cs="Arial"/>
          <w:sz w:val="33"/>
          <w:szCs w:val="33"/>
        </w:rPr>
        <w:t>.</w:t>
      </w:r>
      <w:r>
        <w:rPr>
          <w:rFonts w:ascii="Arial" w:eastAsia="Arial" w:hAnsi="Arial" w:cs="Arial"/>
          <w:sz w:val="28"/>
          <w:szCs w:val="28"/>
        </w:rPr>
        <w:t xml:space="preserve"> </w:t>
      </w:r>
      <w:r>
        <w:rPr>
          <w:rFonts w:ascii="Roboto" w:eastAsia="Roboto" w:hAnsi="Roboto" w:cs="Roboto"/>
          <w:sz w:val="27"/>
          <w:szCs w:val="27"/>
        </w:rPr>
        <w:t>According to the European Institute for Gender Equality (EIGE</w:t>
      </w:r>
      <w:r w:rsidRPr="002B2F6D">
        <w:rPr>
          <w:rFonts w:ascii="Roboto" w:eastAsia="Roboto" w:hAnsi="Roboto" w:cs="Roboto"/>
          <w:sz w:val="27"/>
          <w:szCs w:val="27"/>
        </w:rPr>
        <w:t xml:space="preserve">), </w:t>
      </w:r>
      <w:r w:rsidRPr="002B2F6D">
        <w:rPr>
          <w:rFonts w:ascii="Roboto" w:eastAsia="Roboto" w:hAnsi="Roboto" w:cs="Roboto"/>
          <w:i/>
          <w:sz w:val="27"/>
          <w:szCs w:val="27"/>
        </w:rPr>
        <w:t>a</w:t>
      </w:r>
      <w:r w:rsidRPr="002B2F6D">
        <w:rPr>
          <w:rFonts w:ascii="Roboto" w:eastAsia="Roboto" w:hAnsi="Roboto" w:cs="Roboto"/>
          <w:sz w:val="27"/>
          <w:szCs w:val="27"/>
        </w:rPr>
        <w:t xml:space="preserve">mong women with disabilities of working age, only </w:t>
      </w:r>
      <w:r w:rsidRPr="002B2F6D">
        <w:rPr>
          <w:rFonts w:ascii="Roboto" w:eastAsia="Roboto" w:hAnsi="Roboto" w:cs="Roboto"/>
          <w:b/>
          <w:sz w:val="27"/>
          <w:szCs w:val="27"/>
        </w:rPr>
        <w:t>35.1%</w:t>
      </w:r>
      <w:r w:rsidRPr="002B2F6D">
        <w:rPr>
          <w:rFonts w:ascii="Roboto" w:eastAsia="Roboto" w:hAnsi="Roboto" w:cs="Roboto"/>
          <w:sz w:val="27"/>
          <w:szCs w:val="27"/>
        </w:rPr>
        <w:t xml:space="preserve"> are employed, compared to </w:t>
      </w:r>
      <w:r w:rsidRPr="002B2F6D">
        <w:rPr>
          <w:rFonts w:ascii="Roboto" w:eastAsia="Roboto" w:hAnsi="Roboto" w:cs="Roboto"/>
          <w:b/>
          <w:sz w:val="27"/>
          <w:szCs w:val="27"/>
        </w:rPr>
        <w:t>52.5%</w:t>
      </w:r>
      <w:r w:rsidRPr="002B2F6D">
        <w:rPr>
          <w:rFonts w:ascii="Roboto" w:eastAsia="Roboto" w:hAnsi="Roboto" w:cs="Roboto"/>
          <w:sz w:val="27"/>
          <w:szCs w:val="27"/>
        </w:rPr>
        <w:t xml:space="preserve"> of men with disabilities, </w:t>
      </w:r>
      <w:r w:rsidRPr="002B2F6D">
        <w:rPr>
          <w:rFonts w:ascii="Roboto" w:eastAsia="Roboto" w:hAnsi="Roboto" w:cs="Roboto"/>
          <w:b/>
          <w:sz w:val="27"/>
          <w:szCs w:val="27"/>
        </w:rPr>
        <w:t>64.6%</w:t>
      </w:r>
      <w:r w:rsidRPr="002B2F6D">
        <w:rPr>
          <w:rFonts w:ascii="Roboto" w:eastAsia="Roboto" w:hAnsi="Roboto" w:cs="Roboto"/>
          <w:sz w:val="27"/>
          <w:szCs w:val="27"/>
        </w:rPr>
        <w:t xml:space="preserve"> of the male population, and </w:t>
      </w:r>
      <w:r w:rsidRPr="002B2F6D">
        <w:rPr>
          <w:rFonts w:ascii="Roboto" w:eastAsia="Roboto" w:hAnsi="Roboto" w:cs="Roboto"/>
          <w:b/>
          <w:sz w:val="27"/>
          <w:szCs w:val="27"/>
        </w:rPr>
        <w:t>45.8%</w:t>
      </w:r>
      <w:r w:rsidRPr="002B2F6D">
        <w:rPr>
          <w:rFonts w:ascii="Roboto" w:eastAsia="Roboto" w:hAnsi="Roboto" w:cs="Roboto"/>
          <w:sz w:val="27"/>
          <w:szCs w:val="27"/>
        </w:rPr>
        <w:t xml:space="preserve"> of the female population. This represents an </w:t>
      </w:r>
      <w:r w:rsidRPr="002B2F6D">
        <w:rPr>
          <w:rFonts w:ascii="Roboto" w:eastAsia="Roboto" w:hAnsi="Roboto" w:cs="Roboto"/>
          <w:b/>
          <w:sz w:val="27"/>
          <w:szCs w:val="27"/>
        </w:rPr>
        <w:t>employment gap of 17.4 percentage points</w:t>
      </w:r>
      <w:r w:rsidRPr="002B2F6D">
        <w:rPr>
          <w:rFonts w:ascii="Roboto" w:eastAsia="Roboto" w:hAnsi="Roboto" w:cs="Roboto"/>
          <w:sz w:val="27"/>
          <w:szCs w:val="27"/>
        </w:rPr>
        <w:t xml:space="preserve"> between women and men with disabilities.</w:t>
      </w:r>
    </w:p>
    <w:p w14:paraId="00000039" w14:textId="77777777" w:rsidR="00E4171C" w:rsidRPr="002B2F6D" w:rsidRDefault="007E43AB">
      <w:pPr>
        <w:spacing w:before="240" w:after="240" w:line="256" w:lineRule="auto"/>
        <w:rPr>
          <w:rFonts w:ascii="Roboto" w:eastAsia="Roboto" w:hAnsi="Roboto" w:cs="Roboto"/>
          <w:sz w:val="27"/>
          <w:szCs w:val="27"/>
        </w:rPr>
      </w:pPr>
      <w:r w:rsidRPr="002B2F6D">
        <w:rPr>
          <w:rFonts w:ascii="Roboto" w:eastAsia="Roboto" w:hAnsi="Roboto" w:cs="Roboto"/>
          <w:sz w:val="27"/>
          <w:szCs w:val="27"/>
        </w:rPr>
        <w:t xml:space="preserve">The situation is even worse in full-time employment: only </w:t>
      </w:r>
      <w:r w:rsidRPr="002B2F6D">
        <w:rPr>
          <w:rFonts w:ascii="Roboto" w:eastAsia="Roboto" w:hAnsi="Roboto" w:cs="Roboto"/>
          <w:b/>
          <w:sz w:val="27"/>
          <w:szCs w:val="27"/>
        </w:rPr>
        <w:t>14.1%</w:t>
      </w:r>
      <w:r w:rsidRPr="002B2F6D">
        <w:rPr>
          <w:rFonts w:ascii="Roboto" w:eastAsia="Roboto" w:hAnsi="Roboto" w:cs="Roboto"/>
          <w:sz w:val="27"/>
          <w:szCs w:val="27"/>
        </w:rPr>
        <w:t xml:space="preserve"> of women with disabilities work full-time, compared to </w:t>
      </w:r>
      <w:r w:rsidRPr="002B2F6D">
        <w:rPr>
          <w:rFonts w:ascii="Roboto" w:eastAsia="Roboto" w:hAnsi="Roboto" w:cs="Roboto"/>
          <w:b/>
          <w:sz w:val="27"/>
          <w:szCs w:val="27"/>
        </w:rPr>
        <w:t>28%</w:t>
      </w:r>
      <w:r w:rsidRPr="002B2F6D">
        <w:rPr>
          <w:rFonts w:ascii="Roboto" w:eastAsia="Roboto" w:hAnsi="Roboto" w:cs="Roboto"/>
          <w:sz w:val="27"/>
          <w:szCs w:val="27"/>
        </w:rPr>
        <w:t xml:space="preserve"> of men with disabilities and </w:t>
      </w:r>
      <w:r w:rsidRPr="002B2F6D">
        <w:rPr>
          <w:rFonts w:ascii="Roboto" w:eastAsia="Roboto" w:hAnsi="Roboto" w:cs="Roboto"/>
          <w:b/>
          <w:sz w:val="27"/>
          <w:szCs w:val="27"/>
        </w:rPr>
        <w:t>41.2%</w:t>
      </w:r>
      <w:r w:rsidRPr="002B2F6D">
        <w:rPr>
          <w:rFonts w:ascii="Roboto" w:eastAsia="Roboto" w:hAnsi="Roboto" w:cs="Roboto"/>
          <w:sz w:val="27"/>
          <w:szCs w:val="27"/>
        </w:rPr>
        <w:t xml:space="preserve"> of women in the general population. </w:t>
      </w:r>
    </w:p>
    <w:p w14:paraId="0000003A" w14:textId="77777777" w:rsidR="00E4171C" w:rsidRPr="002B2F6D" w:rsidRDefault="007E43AB">
      <w:pPr>
        <w:spacing w:before="240" w:after="240" w:line="256" w:lineRule="auto"/>
        <w:rPr>
          <w:rFonts w:ascii="Roboto" w:eastAsia="Roboto" w:hAnsi="Roboto" w:cs="Roboto"/>
          <w:sz w:val="27"/>
          <w:szCs w:val="27"/>
        </w:rPr>
      </w:pPr>
      <w:r w:rsidRPr="002B2F6D">
        <w:rPr>
          <w:rFonts w:ascii="Roboto" w:eastAsia="Roboto" w:hAnsi="Roboto" w:cs="Roboto"/>
          <w:sz w:val="27"/>
          <w:szCs w:val="27"/>
        </w:rPr>
        <w:t xml:space="preserve">Persons caring for family members with disabilities—most of whom are women—also experience intersectional discrimination that limits their </w:t>
      </w:r>
      <w:r w:rsidRPr="002B2F6D">
        <w:rPr>
          <w:rFonts w:ascii="Roboto" w:eastAsia="Roboto" w:hAnsi="Roboto" w:cs="Roboto"/>
          <w:sz w:val="27"/>
          <w:szCs w:val="27"/>
        </w:rPr>
        <w:lastRenderedPageBreak/>
        <w:t>participation in paid employment, due to the challenges of balancing work and caregiving responsibilities. The availability of adequate support services and facilities is crucial to help persons with family care duties, particularly women, maintain a healthy balance between care tasks and working life. In Italy, women are significantly more involved than men in caring for elderly relatives or family members with disabilities. In this regard, the</w:t>
      </w:r>
      <w:hyperlink r:id="rId27">
        <w:r w:rsidRPr="002B2F6D">
          <w:rPr>
            <w:rFonts w:ascii="Roboto" w:eastAsia="Roboto" w:hAnsi="Roboto" w:cs="Roboto"/>
            <w:sz w:val="27"/>
            <w:szCs w:val="27"/>
          </w:rPr>
          <w:t xml:space="preserve"> </w:t>
        </w:r>
      </w:hyperlink>
      <w:hyperlink r:id="rId28">
        <w:r w:rsidRPr="002B2F6D">
          <w:rPr>
            <w:rFonts w:ascii="Roboto" w:eastAsia="Roboto" w:hAnsi="Roboto" w:cs="Roboto"/>
            <w:color w:val="1155CC"/>
            <w:sz w:val="27"/>
            <w:szCs w:val="27"/>
            <w:u w:val="single"/>
          </w:rPr>
          <w:t>Communication</w:t>
        </w:r>
      </w:hyperlink>
      <w:r w:rsidRPr="002B2F6D">
        <w:rPr>
          <w:rFonts w:ascii="Roboto" w:eastAsia="Roboto" w:hAnsi="Roboto" w:cs="Roboto"/>
          <w:sz w:val="27"/>
          <w:szCs w:val="27"/>
        </w:rPr>
        <w:t xml:space="preserve"> from this Committee to Italy on the Bellini case is worth mentioning.</w:t>
      </w:r>
    </w:p>
    <w:p w14:paraId="0000003C" w14:textId="77777777" w:rsidR="00E4171C" w:rsidRDefault="007E43AB">
      <w:pPr>
        <w:numPr>
          <w:ilvl w:val="0"/>
          <w:numId w:val="2"/>
        </w:numPr>
        <w:spacing w:before="240" w:after="0" w:line="240" w:lineRule="auto"/>
        <w:rPr>
          <w:rFonts w:ascii="Roboto" w:eastAsia="Roboto" w:hAnsi="Roboto" w:cs="Roboto"/>
          <w:sz w:val="27"/>
          <w:szCs w:val="27"/>
        </w:rPr>
      </w:pPr>
      <w:r>
        <w:rPr>
          <w:rFonts w:ascii="Roboto" w:eastAsia="Roboto" w:hAnsi="Roboto" w:cs="Roboto"/>
          <w:b/>
          <w:sz w:val="27"/>
          <w:szCs w:val="27"/>
        </w:rPr>
        <w:t>Healthcare</w:t>
      </w:r>
      <w:r>
        <w:rPr>
          <w:rFonts w:ascii="Roboto" w:eastAsia="Roboto" w:hAnsi="Roboto" w:cs="Roboto"/>
          <w:sz w:val="27"/>
          <w:szCs w:val="27"/>
        </w:rPr>
        <w:t xml:space="preserve">: Barriers persist in accessing </w:t>
      </w:r>
      <w:proofErr w:type="spellStart"/>
      <w:r>
        <w:rPr>
          <w:rFonts w:ascii="Roboto" w:eastAsia="Roboto" w:hAnsi="Roboto" w:cs="Roboto"/>
          <w:sz w:val="27"/>
          <w:szCs w:val="27"/>
        </w:rPr>
        <w:t>gynecological</w:t>
      </w:r>
      <w:proofErr w:type="spellEnd"/>
      <w:r>
        <w:rPr>
          <w:rFonts w:ascii="Roboto" w:eastAsia="Roboto" w:hAnsi="Roboto" w:cs="Roboto"/>
          <w:sz w:val="27"/>
          <w:szCs w:val="27"/>
        </w:rPr>
        <w:t xml:space="preserve"> care, maternity services, and information on reproductive health. Prejudices that portray women with disabilities as “asexual” or “incapable of being mothers” further restrict their reproductive rights and autonomy.</w:t>
      </w:r>
      <w:r>
        <w:rPr>
          <w:rFonts w:ascii="Roboto" w:eastAsia="Roboto" w:hAnsi="Roboto" w:cs="Roboto"/>
          <w:sz w:val="27"/>
          <w:szCs w:val="27"/>
        </w:rPr>
        <w:br/>
      </w:r>
    </w:p>
    <w:p w14:paraId="0000003D" w14:textId="77777777" w:rsidR="00E4171C" w:rsidRDefault="007E43AB">
      <w:pPr>
        <w:numPr>
          <w:ilvl w:val="0"/>
          <w:numId w:val="2"/>
        </w:numPr>
        <w:spacing w:after="0" w:line="240" w:lineRule="auto"/>
        <w:rPr>
          <w:rFonts w:ascii="Roboto" w:eastAsia="Roboto" w:hAnsi="Roboto" w:cs="Roboto"/>
          <w:sz w:val="27"/>
          <w:szCs w:val="27"/>
        </w:rPr>
      </w:pPr>
      <w:r>
        <w:rPr>
          <w:rFonts w:ascii="Roboto" w:eastAsia="Roboto" w:hAnsi="Roboto" w:cs="Roboto"/>
          <w:b/>
          <w:sz w:val="27"/>
          <w:szCs w:val="27"/>
        </w:rPr>
        <w:t>Education</w:t>
      </w:r>
      <w:r>
        <w:rPr>
          <w:rFonts w:ascii="Roboto" w:eastAsia="Roboto" w:hAnsi="Roboto" w:cs="Roboto"/>
          <w:sz w:val="27"/>
          <w:szCs w:val="27"/>
        </w:rPr>
        <w:t>: In rural areas, girls with disabilities may face multiple forms of discrimination based on gender, disability, and socio-economic status, resulting in lower school attendance and completion rates.</w:t>
      </w:r>
      <w:r>
        <w:rPr>
          <w:rFonts w:ascii="Roboto" w:eastAsia="Roboto" w:hAnsi="Roboto" w:cs="Roboto"/>
          <w:sz w:val="27"/>
          <w:szCs w:val="27"/>
        </w:rPr>
        <w:br/>
      </w:r>
    </w:p>
    <w:p w14:paraId="0000003E" w14:textId="77777777" w:rsidR="00E4171C" w:rsidRDefault="007E43AB">
      <w:pPr>
        <w:numPr>
          <w:ilvl w:val="0"/>
          <w:numId w:val="2"/>
        </w:numPr>
        <w:spacing w:after="0" w:line="240" w:lineRule="auto"/>
        <w:rPr>
          <w:rFonts w:ascii="Roboto" w:eastAsia="Roboto" w:hAnsi="Roboto" w:cs="Roboto"/>
          <w:sz w:val="27"/>
          <w:szCs w:val="27"/>
        </w:rPr>
      </w:pPr>
      <w:r>
        <w:rPr>
          <w:rFonts w:ascii="Roboto" w:eastAsia="Roboto" w:hAnsi="Roboto" w:cs="Roboto"/>
          <w:b/>
          <w:sz w:val="27"/>
          <w:szCs w:val="27"/>
        </w:rPr>
        <w:t>Violence and abuse</w:t>
      </w:r>
      <w:r>
        <w:rPr>
          <w:rFonts w:ascii="Roboto" w:eastAsia="Roboto" w:hAnsi="Roboto" w:cs="Roboto"/>
          <w:sz w:val="27"/>
          <w:szCs w:val="27"/>
        </w:rPr>
        <w:t>: Women and girls with disabilities are at a higher risk of gender-based violence, including sexual abuse. They often have limited access to protection services, support mechanisms, and justice systems.</w:t>
      </w:r>
      <w:r>
        <w:rPr>
          <w:rFonts w:ascii="Roboto" w:eastAsia="Roboto" w:hAnsi="Roboto" w:cs="Roboto"/>
          <w:sz w:val="27"/>
          <w:szCs w:val="27"/>
        </w:rPr>
        <w:br/>
      </w:r>
    </w:p>
    <w:p w14:paraId="0000003F" w14:textId="77777777" w:rsidR="00E4171C" w:rsidRDefault="007E43AB">
      <w:pPr>
        <w:numPr>
          <w:ilvl w:val="0"/>
          <w:numId w:val="2"/>
        </w:numPr>
        <w:spacing w:after="240" w:line="240" w:lineRule="auto"/>
        <w:rPr>
          <w:rFonts w:ascii="Roboto" w:eastAsia="Roboto" w:hAnsi="Roboto" w:cs="Roboto"/>
          <w:sz w:val="27"/>
          <w:szCs w:val="27"/>
        </w:rPr>
      </w:pPr>
      <w:r>
        <w:rPr>
          <w:rFonts w:ascii="Roboto" w:eastAsia="Roboto" w:hAnsi="Roboto" w:cs="Roboto"/>
          <w:b/>
          <w:sz w:val="27"/>
          <w:szCs w:val="27"/>
        </w:rPr>
        <w:t>Political participation</w:t>
      </w:r>
      <w:r>
        <w:rPr>
          <w:rFonts w:ascii="Roboto" w:eastAsia="Roboto" w:hAnsi="Roboto" w:cs="Roboto"/>
          <w:sz w:val="27"/>
          <w:szCs w:val="27"/>
        </w:rPr>
        <w:t>: Women with disabilities are underrepresented in political and public decision-making processes. Gender norms and disability stereotypes continue to discourage their active involvement in leadership and civic engagement.</w:t>
      </w:r>
    </w:p>
    <w:p w14:paraId="00000040" w14:textId="77777777" w:rsidR="00E4171C" w:rsidRDefault="00E4171C">
      <w:pPr>
        <w:spacing w:before="240" w:after="240" w:line="240" w:lineRule="auto"/>
        <w:rPr>
          <w:rFonts w:ascii="Arial" w:eastAsia="Arial" w:hAnsi="Arial" w:cs="Arial"/>
          <w:color w:val="0563C1"/>
          <w:sz w:val="20"/>
          <w:szCs w:val="20"/>
          <w:highlight w:val="cyan"/>
          <w:u w:val="single"/>
        </w:rPr>
      </w:pPr>
    </w:p>
    <w:p w14:paraId="00000041" w14:textId="77777777" w:rsidR="00E4171C" w:rsidRDefault="00E4171C">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highlight w:val="cyan"/>
        </w:rPr>
      </w:pPr>
    </w:p>
    <w:p w14:paraId="00000042" w14:textId="43EECF61"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7.</w:t>
      </w:r>
      <w:r w:rsidR="007E43AB">
        <w:rPr>
          <w:rFonts w:ascii="Arial" w:eastAsia="Arial" w:hAnsi="Arial" w:cs="Arial"/>
          <w:sz w:val="28"/>
          <w:szCs w:val="28"/>
        </w:rPr>
        <w:t xml:space="preserve"> </w:t>
      </w:r>
      <w:r w:rsidR="007E43AB">
        <w:rPr>
          <w:rFonts w:ascii="Roboto" w:eastAsia="Roboto" w:hAnsi="Roboto" w:cs="Roboto"/>
          <w:sz w:val="27"/>
          <w:szCs w:val="27"/>
        </w:rPr>
        <w:t>Indicate which remedies are available to women and girls with disabilities facing multiple and intersecting forms of discrimination. Are these remedies accessible, available, and effective?</w:t>
      </w:r>
    </w:p>
    <w:p w14:paraId="00000043" w14:textId="77777777" w:rsidR="00E4171C" w:rsidRDefault="007E43AB">
      <w:pPr>
        <w:spacing w:before="280" w:after="280" w:line="240" w:lineRule="auto"/>
        <w:rPr>
          <w:rFonts w:ascii="Roboto" w:eastAsia="Roboto" w:hAnsi="Roboto" w:cs="Roboto"/>
          <w:sz w:val="27"/>
          <w:szCs w:val="27"/>
        </w:rPr>
      </w:pPr>
      <w:r>
        <w:rPr>
          <w:rFonts w:ascii="Roboto" w:eastAsia="Roboto" w:hAnsi="Roboto" w:cs="Roboto"/>
          <w:b/>
          <w:sz w:val="27"/>
          <w:szCs w:val="27"/>
        </w:rPr>
        <w:t>Answer:</w:t>
      </w:r>
      <w:r>
        <w:rPr>
          <w:rFonts w:ascii="Roboto" w:eastAsia="Roboto" w:hAnsi="Roboto" w:cs="Roboto"/>
          <w:sz w:val="27"/>
          <w:szCs w:val="27"/>
        </w:rPr>
        <w:t xml:space="preserve"> Available remedies in Italy include:</w:t>
      </w:r>
    </w:p>
    <w:p w14:paraId="00000044" w14:textId="77777777" w:rsidR="00E4171C" w:rsidRDefault="007E43AB">
      <w:pPr>
        <w:numPr>
          <w:ilvl w:val="0"/>
          <w:numId w:val="4"/>
        </w:numPr>
        <w:spacing w:before="240" w:after="0" w:line="240" w:lineRule="auto"/>
        <w:rPr>
          <w:rFonts w:ascii="Roboto" w:eastAsia="Roboto" w:hAnsi="Roboto" w:cs="Roboto"/>
          <w:sz w:val="27"/>
          <w:szCs w:val="27"/>
        </w:rPr>
      </w:pPr>
      <w:r>
        <w:rPr>
          <w:rFonts w:ascii="Roboto" w:eastAsia="Roboto" w:hAnsi="Roboto" w:cs="Roboto"/>
          <w:b/>
          <w:sz w:val="27"/>
          <w:szCs w:val="27"/>
        </w:rPr>
        <w:t>Gender-based violence protection services</w:t>
      </w:r>
      <w:r>
        <w:rPr>
          <w:rFonts w:ascii="Roboto" w:eastAsia="Roboto" w:hAnsi="Roboto" w:cs="Roboto"/>
          <w:sz w:val="27"/>
          <w:szCs w:val="27"/>
        </w:rPr>
        <w:t>, such as shelters, anti-violence centres, and the national helpline 1522.</w:t>
      </w:r>
      <w:r>
        <w:rPr>
          <w:rFonts w:ascii="Roboto" w:eastAsia="Roboto" w:hAnsi="Roboto" w:cs="Roboto"/>
          <w:sz w:val="27"/>
          <w:szCs w:val="27"/>
        </w:rPr>
        <w:br/>
      </w:r>
    </w:p>
    <w:p w14:paraId="00000045" w14:textId="77777777" w:rsidR="00E4171C" w:rsidRDefault="007E43AB">
      <w:pPr>
        <w:numPr>
          <w:ilvl w:val="0"/>
          <w:numId w:val="4"/>
        </w:numPr>
        <w:spacing w:after="0" w:line="240" w:lineRule="auto"/>
        <w:rPr>
          <w:rFonts w:ascii="Roboto" w:eastAsia="Roboto" w:hAnsi="Roboto" w:cs="Roboto"/>
          <w:sz w:val="27"/>
          <w:szCs w:val="27"/>
        </w:rPr>
      </w:pPr>
      <w:r>
        <w:rPr>
          <w:rFonts w:ascii="Roboto" w:eastAsia="Roboto" w:hAnsi="Roboto" w:cs="Roboto"/>
          <w:b/>
          <w:sz w:val="27"/>
          <w:szCs w:val="27"/>
        </w:rPr>
        <w:t>Labour equality mechanisms</w:t>
      </w:r>
      <w:r>
        <w:rPr>
          <w:rFonts w:ascii="Roboto" w:eastAsia="Roboto" w:hAnsi="Roboto" w:cs="Roboto"/>
          <w:sz w:val="27"/>
          <w:szCs w:val="27"/>
        </w:rPr>
        <w:t xml:space="preserve">, including the </w:t>
      </w:r>
      <w:r>
        <w:rPr>
          <w:rFonts w:ascii="Roboto" w:eastAsia="Roboto" w:hAnsi="Roboto" w:cs="Roboto"/>
          <w:i/>
          <w:sz w:val="27"/>
          <w:szCs w:val="27"/>
        </w:rPr>
        <w:t xml:space="preserve">Equality Counsellors (Consigliere di </w:t>
      </w:r>
      <w:proofErr w:type="spellStart"/>
      <w:r>
        <w:rPr>
          <w:rFonts w:ascii="Roboto" w:eastAsia="Roboto" w:hAnsi="Roboto" w:cs="Roboto"/>
          <w:i/>
          <w:sz w:val="27"/>
          <w:szCs w:val="27"/>
        </w:rPr>
        <w:t>Parità</w:t>
      </w:r>
      <w:proofErr w:type="spellEnd"/>
      <w:r>
        <w:rPr>
          <w:rFonts w:ascii="Roboto" w:eastAsia="Roboto" w:hAnsi="Roboto" w:cs="Roboto"/>
          <w:i/>
          <w:sz w:val="27"/>
          <w:szCs w:val="27"/>
        </w:rPr>
        <w:t>)</w:t>
      </w:r>
      <w:r>
        <w:rPr>
          <w:rFonts w:ascii="Roboto" w:eastAsia="Roboto" w:hAnsi="Roboto" w:cs="Roboto"/>
          <w:sz w:val="27"/>
          <w:szCs w:val="27"/>
        </w:rPr>
        <w:t>, who monitor and promote gender equality in the workplace and can intervene in cases of discrimination.</w:t>
      </w:r>
      <w:r>
        <w:rPr>
          <w:rFonts w:ascii="Roboto" w:eastAsia="Roboto" w:hAnsi="Roboto" w:cs="Roboto"/>
          <w:sz w:val="27"/>
          <w:szCs w:val="27"/>
        </w:rPr>
        <w:br/>
      </w:r>
    </w:p>
    <w:p w14:paraId="00000046" w14:textId="77777777" w:rsidR="00E4171C" w:rsidRDefault="007E43AB">
      <w:pPr>
        <w:numPr>
          <w:ilvl w:val="0"/>
          <w:numId w:val="4"/>
        </w:numPr>
        <w:spacing w:after="0" w:line="240" w:lineRule="auto"/>
        <w:rPr>
          <w:rFonts w:ascii="Roboto" w:eastAsia="Roboto" w:hAnsi="Roboto" w:cs="Roboto"/>
          <w:sz w:val="27"/>
          <w:szCs w:val="27"/>
        </w:rPr>
      </w:pPr>
      <w:r>
        <w:rPr>
          <w:rFonts w:ascii="Roboto" w:eastAsia="Roboto" w:hAnsi="Roboto" w:cs="Roboto"/>
          <w:b/>
          <w:sz w:val="27"/>
          <w:szCs w:val="27"/>
        </w:rPr>
        <w:t>Measures promoting female employment</w:t>
      </w:r>
      <w:r>
        <w:rPr>
          <w:rFonts w:ascii="Roboto" w:eastAsia="Roboto" w:hAnsi="Roboto" w:cs="Roboto"/>
          <w:sz w:val="27"/>
          <w:szCs w:val="27"/>
        </w:rPr>
        <w:t>, aimed at improving access to the labour market.</w:t>
      </w:r>
      <w:r>
        <w:rPr>
          <w:rFonts w:ascii="Roboto" w:eastAsia="Roboto" w:hAnsi="Roboto" w:cs="Roboto"/>
          <w:sz w:val="27"/>
          <w:szCs w:val="27"/>
        </w:rPr>
        <w:br/>
      </w:r>
    </w:p>
    <w:p w14:paraId="00000047" w14:textId="77777777" w:rsidR="00E4171C" w:rsidRDefault="007E43AB">
      <w:pPr>
        <w:numPr>
          <w:ilvl w:val="0"/>
          <w:numId w:val="4"/>
        </w:numPr>
        <w:spacing w:after="240" w:line="240" w:lineRule="auto"/>
        <w:rPr>
          <w:rFonts w:ascii="Roboto" w:eastAsia="Roboto" w:hAnsi="Roboto" w:cs="Roboto"/>
          <w:sz w:val="27"/>
          <w:szCs w:val="27"/>
        </w:rPr>
      </w:pPr>
      <w:r>
        <w:rPr>
          <w:rFonts w:ascii="Roboto" w:eastAsia="Roboto" w:hAnsi="Roboto" w:cs="Roboto"/>
          <w:b/>
          <w:sz w:val="27"/>
          <w:szCs w:val="27"/>
        </w:rPr>
        <w:lastRenderedPageBreak/>
        <w:t>Access to reproductive and general healthcare services</w:t>
      </w:r>
      <w:r>
        <w:rPr>
          <w:rFonts w:ascii="Roboto" w:eastAsia="Roboto" w:hAnsi="Roboto" w:cs="Roboto"/>
          <w:sz w:val="27"/>
          <w:szCs w:val="27"/>
        </w:rPr>
        <w:t>, which are part of the broader system of rights protection for women.</w:t>
      </w:r>
      <w:r>
        <w:rPr>
          <w:rFonts w:ascii="Roboto" w:eastAsia="Roboto" w:hAnsi="Roboto" w:cs="Roboto"/>
          <w:sz w:val="27"/>
          <w:szCs w:val="27"/>
        </w:rPr>
        <w:br/>
      </w:r>
    </w:p>
    <w:p w14:paraId="00000048"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 xml:space="preserve">However, these remedies are often </w:t>
      </w:r>
      <w:r>
        <w:rPr>
          <w:rFonts w:ascii="Roboto" w:eastAsia="Roboto" w:hAnsi="Roboto" w:cs="Roboto"/>
          <w:b/>
          <w:sz w:val="27"/>
          <w:szCs w:val="27"/>
        </w:rPr>
        <w:t>not fully accessible or adequately adapted</w:t>
      </w:r>
      <w:r>
        <w:rPr>
          <w:rFonts w:ascii="Roboto" w:eastAsia="Roboto" w:hAnsi="Roboto" w:cs="Roboto"/>
          <w:sz w:val="27"/>
          <w:szCs w:val="27"/>
        </w:rPr>
        <w:t xml:space="preserve"> to the specific needs of women and girls with disabilities. Services rarely provide reasonable accommodation or trained personnel, and physical, informational, and communication barriers persist. As a result, the </w:t>
      </w:r>
      <w:r>
        <w:rPr>
          <w:rFonts w:ascii="Roboto" w:eastAsia="Roboto" w:hAnsi="Roboto" w:cs="Roboto"/>
          <w:b/>
          <w:sz w:val="27"/>
          <w:szCs w:val="27"/>
        </w:rPr>
        <w:t>effectiveness of these remedies remains limited</w:t>
      </w:r>
      <w:r>
        <w:rPr>
          <w:rFonts w:ascii="Roboto" w:eastAsia="Roboto" w:hAnsi="Roboto" w:cs="Roboto"/>
          <w:sz w:val="27"/>
          <w:szCs w:val="27"/>
        </w:rPr>
        <w:t>.</w:t>
      </w:r>
    </w:p>
    <w:p w14:paraId="00000049"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 xml:space="preserve">A significant example of a legal remedy can be found in the </w:t>
      </w:r>
      <w:r>
        <w:rPr>
          <w:rFonts w:ascii="Roboto" w:eastAsia="Roboto" w:hAnsi="Roboto" w:cs="Roboto"/>
          <w:b/>
          <w:sz w:val="27"/>
          <w:szCs w:val="27"/>
        </w:rPr>
        <w:t>2020 European Court of Human Rights (ECHR)</w:t>
      </w:r>
      <w:r>
        <w:rPr>
          <w:rFonts w:ascii="Roboto" w:eastAsia="Roboto" w:hAnsi="Roboto" w:cs="Roboto"/>
          <w:sz w:val="27"/>
          <w:szCs w:val="27"/>
        </w:rPr>
        <w:t xml:space="preserve"> judgment condemning Italy for failing to provide adequate educational support to a girl with autism from Eboli (Salerno) during her early primary school years. The child’s parents, after being forced to hire a private special education teacher, appealed to the ECHR on November 24, 2015.</w:t>
      </w:r>
    </w:p>
    <w:p w14:paraId="0000004A"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 xml:space="preserve">After five years, the Court ruled that Italy must pay the child </w:t>
      </w:r>
      <w:r>
        <w:rPr>
          <w:rFonts w:ascii="Roboto" w:eastAsia="Roboto" w:hAnsi="Roboto" w:cs="Roboto"/>
          <w:b/>
          <w:sz w:val="27"/>
          <w:szCs w:val="27"/>
        </w:rPr>
        <w:t>€16,695</w:t>
      </w:r>
      <w:r>
        <w:rPr>
          <w:rFonts w:ascii="Roboto" w:eastAsia="Roboto" w:hAnsi="Roboto" w:cs="Roboto"/>
          <w:sz w:val="27"/>
          <w:szCs w:val="27"/>
        </w:rPr>
        <w:t xml:space="preserve"> in compensation. The State Attorney’s argument—that the lack of support was due to financial constraints under the 2011 Stability Law—was rejected. The Court found a violation of </w:t>
      </w:r>
      <w:r>
        <w:rPr>
          <w:rFonts w:ascii="Roboto" w:eastAsia="Roboto" w:hAnsi="Roboto" w:cs="Roboto"/>
          <w:b/>
          <w:sz w:val="27"/>
          <w:szCs w:val="27"/>
        </w:rPr>
        <w:t>Article 14 (Prohibition of Discrimination)</w:t>
      </w:r>
      <w:r>
        <w:rPr>
          <w:rFonts w:ascii="Roboto" w:eastAsia="Roboto" w:hAnsi="Roboto" w:cs="Roboto"/>
          <w:sz w:val="27"/>
          <w:szCs w:val="27"/>
        </w:rPr>
        <w:t xml:space="preserve"> of the </w:t>
      </w:r>
      <w:r>
        <w:rPr>
          <w:rFonts w:ascii="Roboto" w:eastAsia="Roboto" w:hAnsi="Roboto" w:cs="Roboto"/>
          <w:i/>
          <w:sz w:val="27"/>
          <w:szCs w:val="27"/>
        </w:rPr>
        <w:t>European Convention on Human Rights</w:t>
      </w:r>
      <w:r>
        <w:rPr>
          <w:rFonts w:ascii="Roboto" w:eastAsia="Roboto" w:hAnsi="Roboto" w:cs="Roboto"/>
          <w:sz w:val="27"/>
          <w:szCs w:val="27"/>
        </w:rPr>
        <w:t xml:space="preserve">, in conjunction with </w:t>
      </w:r>
      <w:r>
        <w:rPr>
          <w:rFonts w:ascii="Roboto" w:eastAsia="Roboto" w:hAnsi="Roboto" w:cs="Roboto"/>
          <w:b/>
          <w:sz w:val="27"/>
          <w:szCs w:val="27"/>
        </w:rPr>
        <w:t>Article 2 (Right to Education)</w:t>
      </w:r>
      <w:r>
        <w:rPr>
          <w:rFonts w:ascii="Roboto" w:eastAsia="Roboto" w:hAnsi="Roboto" w:cs="Roboto"/>
          <w:sz w:val="27"/>
          <w:szCs w:val="27"/>
        </w:rPr>
        <w:t xml:space="preserve"> of the </w:t>
      </w:r>
      <w:r>
        <w:rPr>
          <w:rFonts w:ascii="Roboto" w:eastAsia="Roboto" w:hAnsi="Roboto" w:cs="Roboto"/>
          <w:i/>
          <w:sz w:val="27"/>
          <w:szCs w:val="27"/>
        </w:rPr>
        <w:t>Additional Protocol</w:t>
      </w:r>
      <w:r>
        <w:rPr>
          <w:rFonts w:ascii="Roboto" w:eastAsia="Roboto" w:hAnsi="Roboto" w:cs="Roboto"/>
          <w:sz w:val="27"/>
          <w:szCs w:val="27"/>
        </w:rPr>
        <w:t>.</w:t>
      </w:r>
    </w:p>
    <w:p w14:paraId="0000004B"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 xml:space="preserve">The Court underlined the </w:t>
      </w:r>
      <w:r>
        <w:rPr>
          <w:rFonts w:ascii="Roboto" w:eastAsia="Roboto" w:hAnsi="Roboto" w:cs="Roboto"/>
          <w:b/>
          <w:sz w:val="27"/>
          <w:szCs w:val="27"/>
        </w:rPr>
        <w:t>discriminatory nature of the failure to provide assistance</w:t>
      </w:r>
      <w:r>
        <w:rPr>
          <w:rFonts w:ascii="Roboto" w:eastAsia="Roboto" w:hAnsi="Roboto" w:cs="Roboto"/>
          <w:sz w:val="27"/>
          <w:szCs w:val="27"/>
        </w:rPr>
        <w:t>, which had “serious consequences in the first and fundamental years of schooling.” (</w:t>
      </w:r>
      <w:hyperlink r:id="rId29" w:anchor="%7B%22itemid%22:%5B%22001-204685%22">
        <w:r>
          <w:rPr>
            <w:rFonts w:ascii="Roboto" w:eastAsia="Roboto" w:hAnsi="Roboto" w:cs="Roboto"/>
            <w:color w:val="1155CC"/>
            <w:sz w:val="27"/>
            <w:szCs w:val="27"/>
            <w:u w:val="single"/>
          </w:rPr>
          <w:t>https://hudoc.echr.coe.int/fre#{%22itemid%22:[%22001-204685%22</w:t>
        </w:r>
      </w:hyperlink>
      <w:r>
        <w:rPr>
          <w:rFonts w:ascii="Roboto" w:eastAsia="Roboto" w:hAnsi="Roboto" w:cs="Roboto"/>
          <w:sz w:val="27"/>
          <w:szCs w:val="27"/>
        </w:rPr>
        <w:t xml:space="preserve">]}) </w:t>
      </w:r>
    </w:p>
    <w:p w14:paraId="0000004C" w14:textId="77777777" w:rsidR="00E4171C" w:rsidRDefault="007E43AB">
      <w:pPr>
        <w:spacing w:before="240" w:after="240" w:line="240" w:lineRule="auto"/>
        <w:rPr>
          <w:rFonts w:ascii="Roboto" w:eastAsia="Roboto" w:hAnsi="Roboto" w:cs="Roboto"/>
          <w:sz w:val="27"/>
          <w:szCs w:val="27"/>
        </w:rPr>
      </w:pPr>
      <w:r>
        <w:rPr>
          <w:rFonts w:ascii="Roboto" w:eastAsia="Roboto" w:hAnsi="Roboto" w:cs="Roboto"/>
          <w:sz w:val="27"/>
          <w:szCs w:val="27"/>
        </w:rPr>
        <w:t>This case clearly demonstrates:</w:t>
      </w:r>
    </w:p>
    <w:p w14:paraId="0000004D" w14:textId="77777777" w:rsidR="00E4171C" w:rsidRDefault="007E43AB">
      <w:pPr>
        <w:numPr>
          <w:ilvl w:val="0"/>
          <w:numId w:val="3"/>
        </w:numPr>
        <w:spacing w:before="240" w:after="0" w:line="240" w:lineRule="auto"/>
        <w:rPr>
          <w:rFonts w:ascii="Roboto" w:eastAsia="Roboto" w:hAnsi="Roboto" w:cs="Roboto"/>
          <w:sz w:val="27"/>
          <w:szCs w:val="27"/>
        </w:rPr>
      </w:pPr>
      <w:r>
        <w:rPr>
          <w:rFonts w:ascii="Roboto" w:eastAsia="Roboto" w:hAnsi="Roboto" w:cs="Roboto"/>
          <w:sz w:val="27"/>
          <w:szCs w:val="27"/>
        </w:rPr>
        <w:t xml:space="preserve">That </w:t>
      </w:r>
      <w:r>
        <w:rPr>
          <w:rFonts w:ascii="Roboto" w:eastAsia="Roboto" w:hAnsi="Roboto" w:cs="Roboto"/>
          <w:b/>
          <w:sz w:val="27"/>
          <w:szCs w:val="27"/>
        </w:rPr>
        <w:t>families of persons with disabilities can appeal to international mechanisms</w:t>
      </w:r>
      <w:r>
        <w:rPr>
          <w:rFonts w:ascii="Roboto" w:eastAsia="Roboto" w:hAnsi="Roboto" w:cs="Roboto"/>
          <w:sz w:val="27"/>
          <w:szCs w:val="27"/>
        </w:rPr>
        <w:t>, such as the ECHR, when domestic remedies prove ineffective; and</w:t>
      </w:r>
      <w:r>
        <w:rPr>
          <w:rFonts w:ascii="Roboto" w:eastAsia="Roboto" w:hAnsi="Roboto" w:cs="Roboto"/>
          <w:sz w:val="27"/>
          <w:szCs w:val="27"/>
        </w:rPr>
        <w:br/>
      </w:r>
    </w:p>
    <w:p w14:paraId="0000004E" w14:textId="77777777" w:rsidR="00E4171C" w:rsidRDefault="007E43AB">
      <w:pPr>
        <w:numPr>
          <w:ilvl w:val="0"/>
          <w:numId w:val="3"/>
        </w:numPr>
        <w:spacing w:after="240" w:line="240" w:lineRule="auto"/>
        <w:rPr>
          <w:rFonts w:ascii="Roboto" w:eastAsia="Roboto" w:hAnsi="Roboto" w:cs="Roboto"/>
          <w:sz w:val="27"/>
          <w:szCs w:val="27"/>
        </w:rPr>
      </w:pPr>
      <w:r>
        <w:rPr>
          <w:rFonts w:ascii="Roboto" w:eastAsia="Roboto" w:hAnsi="Roboto" w:cs="Roboto"/>
          <w:sz w:val="27"/>
          <w:szCs w:val="27"/>
        </w:rPr>
        <w:t xml:space="preserve">The </w:t>
      </w:r>
      <w:r>
        <w:rPr>
          <w:rFonts w:ascii="Roboto" w:eastAsia="Roboto" w:hAnsi="Roboto" w:cs="Roboto"/>
          <w:b/>
          <w:sz w:val="27"/>
          <w:szCs w:val="27"/>
        </w:rPr>
        <w:t>effectiveness (though delayed)</w:t>
      </w:r>
      <w:r>
        <w:rPr>
          <w:rFonts w:ascii="Roboto" w:eastAsia="Roboto" w:hAnsi="Roboto" w:cs="Roboto"/>
          <w:sz w:val="27"/>
          <w:szCs w:val="27"/>
        </w:rPr>
        <w:t xml:space="preserve"> of international remedies in recognizing and compensating discrimination based on disability.</w:t>
      </w:r>
    </w:p>
    <w:p w14:paraId="00000050" w14:textId="5F0B8FC3" w:rsidR="00E4171C" w:rsidRDefault="002B2F6D">
      <w:pPr>
        <w:rPr>
          <w:rFonts w:ascii="Roboto" w:eastAsia="Roboto" w:hAnsi="Roboto" w:cs="Roboto"/>
          <w:sz w:val="27"/>
          <w:szCs w:val="27"/>
        </w:rPr>
      </w:pPr>
      <w:r>
        <w:rPr>
          <w:rFonts w:ascii="Arial" w:eastAsia="Arial" w:hAnsi="Arial" w:cs="Arial"/>
          <w:b/>
          <w:sz w:val="28"/>
          <w:szCs w:val="28"/>
        </w:rPr>
        <w:t xml:space="preserve">Question </w:t>
      </w:r>
      <w:r w:rsidR="007E43AB">
        <w:rPr>
          <w:rFonts w:ascii="Arial" w:eastAsia="Arial" w:hAnsi="Arial" w:cs="Arial"/>
          <w:b/>
          <w:sz w:val="28"/>
          <w:szCs w:val="28"/>
        </w:rPr>
        <w:t>8.</w:t>
      </w:r>
      <w:r w:rsidR="007E43AB">
        <w:rPr>
          <w:rFonts w:ascii="Arial" w:eastAsia="Arial" w:hAnsi="Arial" w:cs="Arial"/>
          <w:sz w:val="28"/>
          <w:szCs w:val="28"/>
        </w:rPr>
        <w:t xml:space="preserve"> </w:t>
      </w:r>
      <w:r w:rsidR="007E43AB">
        <w:rPr>
          <w:rFonts w:ascii="Roboto" w:eastAsia="Roboto" w:hAnsi="Roboto" w:cs="Roboto"/>
          <w:sz w:val="27"/>
          <w:szCs w:val="27"/>
        </w:rPr>
        <w:t>Describe any example of positive initiative, plan, programme, strategy or piece of legislation addressing multiple and intersecting forms of discrimination against women and girls with disabilities.</w:t>
      </w:r>
    </w:p>
    <w:p w14:paraId="00000051" w14:textId="77777777" w:rsidR="00E4171C" w:rsidRDefault="007E43AB">
      <w:pPr>
        <w:rPr>
          <w:rFonts w:ascii="Arial" w:eastAsia="Arial" w:hAnsi="Arial" w:cs="Arial"/>
          <w:sz w:val="28"/>
          <w:szCs w:val="28"/>
        </w:rPr>
      </w:pPr>
      <w:r>
        <w:rPr>
          <w:rFonts w:ascii="Arial" w:eastAsia="Arial" w:hAnsi="Arial" w:cs="Arial"/>
          <w:b/>
          <w:sz w:val="28"/>
          <w:szCs w:val="28"/>
        </w:rPr>
        <w:t>Answer:</w:t>
      </w:r>
      <w:r>
        <w:rPr>
          <w:rFonts w:ascii="Arial" w:eastAsia="Arial" w:hAnsi="Arial" w:cs="Arial"/>
          <w:sz w:val="28"/>
          <w:szCs w:val="28"/>
        </w:rPr>
        <w:t xml:space="preserve">  While Italy lacks a comprehensive national strategy specifically addressing multiple and intersectional discrimination against women and girls with disabilities, several </w:t>
      </w:r>
      <w:r>
        <w:rPr>
          <w:rFonts w:ascii="Arial" w:eastAsia="Arial" w:hAnsi="Arial" w:cs="Arial"/>
          <w:b/>
          <w:sz w:val="28"/>
          <w:szCs w:val="28"/>
        </w:rPr>
        <w:t>positive initiatives and programmes</w:t>
      </w:r>
      <w:r>
        <w:rPr>
          <w:rFonts w:ascii="Arial" w:eastAsia="Arial" w:hAnsi="Arial" w:cs="Arial"/>
          <w:sz w:val="28"/>
          <w:szCs w:val="28"/>
        </w:rPr>
        <w:t xml:space="preserve"> exist at both national and regional levels:</w:t>
      </w:r>
    </w:p>
    <w:p w14:paraId="00000052"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lastRenderedPageBreak/>
        <w:t>• National Strategic Plan on Male Violence Against Women (2021–2023, renewed 2024–2026):</w:t>
      </w:r>
      <w:r>
        <w:rPr>
          <w:rFonts w:ascii="Arial" w:eastAsia="Arial" w:hAnsi="Arial" w:cs="Arial"/>
          <w:b/>
          <w:sz w:val="28"/>
          <w:szCs w:val="28"/>
        </w:rPr>
        <w:br/>
      </w:r>
      <w:r>
        <w:rPr>
          <w:rFonts w:ascii="Arial" w:eastAsia="Arial" w:hAnsi="Arial" w:cs="Arial"/>
          <w:sz w:val="28"/>
          <w:szCs w:val="28"/>
        </w:rPr>
        <w:t xml:space="preserve"> This plan includes measures aimed at improving the accessibility of shelters and anti-violence centres, promoting staff training, and ensuring better services for women with disabilities.</w:t>
      </w:r>
      <w:r>
        <w:rPr>
          <w:rFonts w:ascii="Arial" w:eastAsia="Arial" w:hAnsi="Arial" w:cs="Arial"/>
          <w:sz w:val="28"/>
          <w:szCs w:val="28"/>
        </w:rPr>
        <w:br/>
        <w:t xml:space="preserve"> However, </w:t>
      </w:r>
      <w:r>
        <w:rPr>
          <w:rFonts w:ascii="Arial" w:eastAsia="Arial" w:hAnsi="Arial" w:cs="Arial"/>
          <w:b/>
          <w:sz w:val="28"/>
          <w:szCs w:val="28"/>
        </w:rPr>
        <w:t>implementation challenges</w:t>
      </w:r>
      <w:r>
        <w:rPr>
          <w:rFonts w:ascii="Arial" w:eastAsia="Arial" w:hAnsi="Arial" w:cs="Arial"/>
          <w:sz w:val="28"/>
          <w:szCs w:val="28"/>
        </w:rPr>
        <w:t xml:space="preserve"> persist, and </w:t>
      </w:r>
      <w:r>
        <w:rPr>
          <w:rFonts w:ascii="Arial" w:eastAsia="Arial" w:hAnsi="Arial" w:cs="Arial"/>
          <w:b/>
          <w:sz w:val="28"/>
          <w:szCs w:val="28"/>
        </w:rPr>
        <w:t>women’s organizations were not fully involved</w:t>
      </w:r>
      <w:r>
        <w:rPr>
          <w:rFonts w:ascii="Arial" w:eastAsia="Arial" w:hAnsi="Arial" w:cs="Arial"/>
          <w:sz w:val="28"/>
          <w:szCs w:val="28"/>
        </w:rPr>
        <w:t xml:space="preserve"> in the planning process.</w:t>
      </w:r>
    </w:p>
    <w:p w14:paraId="00000053"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t>• Regional pilot projects:</w:t>
      </w:r>
      <w:r>
        <w:rPr>
          <w:rFonts w:ascii="Arial" w:eastAsia="Arial" w:hAnsi="Arial" w:cs="Arial"/>
          <w:b/>
          <w:sz w:val="28"/>
          <w:szCs w:val="28"/>
        </w:rPr>
        <w:br/>
      </w:r>
      <w:r>
        <w:rPr>
          <w:rFonts w:ascii="Arial" w:eastAsia="Arial" w:hAnsi="Arial" w:cs="Arial"/>
          <w:sz w:val="28"/>
          <w:szCs w:val="28"/>
        </w:rPr>
        <w:t xml:space="preserve"> Regions such as Emilia-Romagna, Tuscany, and Lombardy have implemented pilot projects to enhance the accessibility of anti-violence centres, provide training for professionals, and improve communication supports (e.g., easy-to-read materials, sign language interpretation). These initiatives promote inclusion and more effective protection for women with disabilities.</w:t>
      </w:r>
    </w:p>
    <w:p w14:paraId="00000054"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t>• PNRR (National Recovery and Resilience Plan) funds (2021–2026):</w:t>
      </w:r>
      <w:r>
        <w:rPr>
          <w:rFonts w:ascii="Arial" w:eastAsia="Arial" w:hAnsi="Arial" w:cs="Arial"/>
          <w:b/>
          <w:sz w:val="28"/>
          <w:szCs w:val="28"/>
        </w:rPr>
        <w:br/>
      </w:r>
      <w:r>
        <w:rPr>
          <w:rFonts w:ascii="Arial" w:eastAsia="Arial" w:hAnsi="Arial" w:cs="Arial"/>
          <w:sz w:val="28"/>
          <w:szCs w:val="28"/>
        </w:rPr>
        <w:t xml:space="preserve"> Within </w:t>
      </w:r>
      <w:r>
        <w:rPr>
          <w:rFonts w:ascii="Arial" w:eastAsia="Arial" w:hAnsi="Arial" w:cs="Arial"/>
          <w:i/>
          <w:sz w:val="28"/>
          <w:szCs w:val="28"/>
        </w:rPr>
        <w:t>Mission 5 – Inclusion and Cohesion</w:t>
      </w:r>
      <w:r>
        <w:rPr>
          <w:rFonts w:ascii="Arial" w:eastAsia="Arial" w:hAnsi="Arial" w:cs="Arial"/>
          <w:sz w:val="28"/>
          <w:szCs w:val="28"/>
        </w:rPr>
        <w:t>, resources have been allocated to improve the accessibility of social services, promote digitalisation, and strengthen independent living programmes. Some municipalities have used these funds to support initiatives that benefit women with disabilities, including projects that provide accessible work tools and promote labour inclusion.</w:t>
      </w:r>
    </w:p>
    <w:p w14:paraId="00000055"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t xml:space="preserve">• </w:t>
      </w:r>
      <w:r>
        <w:rPr>
          <w:rFonts w:ascii="Arial" w:eastAsia="Arial" w:hAnsi="Arial" w:cs="Arial"/>
          <w:sz w:val="28"/>
          <w:szCs w:val="28"/>
        </w:rPr>
        <w:t xml:space="preserve">The </w:t>
      </w:r>
      <w:r>
        <w:rPr>
          <w:rFonts w:ascii="Arial" w:eastAsia="Arial" w:hAnsi="Arial" w:cs="Arial"/>
          <w:b/>
          <w:sz w:val="28"/>
          <w:szCs w:val="28"/>
        </w:rPr>
        <w:t>Citizen Inclusion Project (Measure 1.4.2 of the National Recovery and Resilience Plan – PNRR)</w:t>
      </w:r>
      <w:r>
        <w:rPr>
          <w:rFonts w:ascii="Arial" w:eastAsia="Arial" w:hAnsi="Arial" w:cs="Arial"/>
          <w:sz w:val="28"/>
          <w:szCs w:val="28"/>
        </w:rPr>
        <w:t xml:space="preserve">, promoted by </w:t>
      </w:r>
      <w:r>
        <w:rPr>
          <w:rFonts w:ascii="Arial" w:eastAsia="Arial" w:hAnsi="Arial" w:cs="Arial"/>
          <w:b/>
          <w:sz w:val="28"/>
          <w:szCs w:val="28"/>
        </w:rPr>
        <w:t>AGID (the Agency for Digital Italy)</w:t>
      </w:r>
      <w:r>
        <w:rPr>
          <w:rFonts w:ascii="Arial" w:eastAsia="Arial" w:hAnsi="Arial" w:cs="Arial"/>
          <w:sz w:val="28"/>
          <w:szCs w:val="28"/>
        </w:rPr>
        <w:t xml:space="preserve"> as part of the </w:t>
      </w:r>
      <w:r>
        <w:rPr>
          <w:rFonts w:ascii="Arial" w:eastAsia="Arial" w:hAnsi="Arial" w:cs="Arial"/>
          <w:i/>
          <w:sz w:val="28"/>
          <w:szCs w:val="28"/>
        </w:rPr>
        <w:t>Digital Italy Initiative</w:t>
      </w:r>
      <w:r>
        <w:rPr>
          <w:rFonts w:ascii="Arial" w:eastAsia="Arial" w:hAnsi="Arial" w:cs="Arial"/>
          <w:sz w:val="28"/>
          <w:szCs w:val="28"/>
        </w:rPr>
        <w:t>. It aims to improve the accessibility of digital public services through several key actions, including accessibility audits of websites and apps of public and private entities, nationwide initiatives to promote a culture of accessibility, and the provision of technical support and funding to at least 55 local public administrations.</w:t>
      </w:r>
    </w:p>
    <w:p w14:paraId="00000056"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t xml:space="preserve">• Equality Counsellors (Consigliere di </w:t>
      </w:r>
      <w:proofErr w:type="spellStart"/>
      <w:r>
        <w:rPr>
          <w:rFonts w:ascii="Arial" w:eastAsia="Arial" w:hAnsi="Arial" w:cs="Arial"/>
          <w:b/>
          <w:sz w:val="28"/>
          <w:szCs w:val="28"/>
        </w:rPr>
        <w:t>Parità</w:t>
      </w:r>
      <w:proofErr w:type="spellEnd"/>
      <w:r>
        <w:rPr>
          <w:rFonts w:ascii="Arial" w:eastAsia="Arial" w:hAnsi="Arial" w:cs="Arial"/>
          <w:b/>
          <w:sz w:val="28"/>
          <w:szCs w:val="28"/>
        </w:rPr>
        <w:t>):</w:t>
      </w:r>
      <w:r>
        <w:rPr>
          <w:rFonts w:ascii="Arial" w:eastAsia="Arial" w:hAnsi="Arial" w:cs="Arial"/>
          <w:b/>
          <w:sz w:val="28"/>
          <w:szCs w:val="28"/>
        </w:rPr>
        <w:br/>
      </w:r>
      <w:r>
        <w:rPr>
          <w:rFonts w:ascii="Arial" w:eastAsia="Arial" w:hAnsi="Arial" w:cs="Arial"/>
          <w:sz w:val="28"/>
          <w:szCs w:val="28"/>
        </w:rPr>
        <w:t xml:space="preserve"> These institutional figures are increasingly involved in cases where gender and disability discrimination intersect, promoting awareness and providing legal and institutional support to victims.</w:t>
      </w:r>
    </w:p>
    <w:p w14:paraId="00000057" w14:textId="77777777" w:rsidR="00E4171C" w:rsidRDefault="007E43AB">
      <w:pPr>
        <w:spacing w:before="240" w:after="240"/>
        <w:rPr>
          <w:rFonts w:ascii="Arial" w:eastAsia="Arial" w:hAnsi="Arial" w:cs="Arial"/>
          <w:sz w:val="28"/>
          <w:szCs w:val="28"/>
        </w:rPr>
      </w:pPr>
      <w:r>
        <w:rPr>
          <w:rFonts w:ascii="Arial" w:eastAsia="Arial" w:hAnsi="Arial" w:cs="Arial"/>
          <w:b/>
          <w:sz w:val="28"/>
          <w:szCs w:val="28"/>
        </w:rPr>
        <w:t>• DPOs and Civil Society Initiatives:</w:t>
      </w:r>
      <w:r>
        <w:rPr>
          <w:rFonts w:ascii="Arial" w:eastAsia="Arial" w:hAnsi="Arial" w:cs="Arial"/>
          <w:b/>
          <w:sz w:val="28"/>
          <w:szCs w:val="28"/>
        </w:rPr>
        <w:br/>
      </w:r>
      <w:r>
        <w:rPr>
          <w:rFonts w:ascii="Arial" w:eastAsia="Arial" w:hAnsi="Arial" w:cs="Arial"/>
          <w:sz w:val="28"/>
          <w:szCs w:val="28"/>
        </w:rPr>
        <w:t xml:space="preserve"> Organisations such as </w:t>
      </w:r>
      <w:r>
        <w:rPr>
          <w:rFonts w:ascii="Arial" w:eastAsia="Arial" w:hAnsi="Arial" w:cs="Arial"/>
          <w:b/>
          <w:sz w:val="28"/>
          <w:szCs w:val="28"/>
        </w:rPr>
        <w:t>FISH</w:t>
      </w:r>
      <w:r>
        <w:rPr>
          <w:rFonts w:ascii="Arial" w:eastAsia="Arial" w:hAnsi="Arial" w:cs="Arial"/>
          <w:sz w:val="28"/>
          <w:szCs w:val="28"/>
        </w:rPr>
        <w:t xml:space="preserve">, </w:t>
      </w:r>
      <w:r>
        <w:rPr>
          <w:rFonts w:ascii="Arial" w:eastAsia="Arial" w:hAnsi="Arial" w:cs="Arial"/>
          <w:b/>
          <w:sz w:val="28"/>
          <w:szCs w:val="28"/>
        </w:rPr>
        <w:t>ANFFAS</w:t>
      </w:r>
      <w:r>
        <w:rPr>
          <w:rFonts w:ascii="Arial" w:eastAsia="Arial" w:hAnsi="Arial" w:cs="Arial"/>
          <w:sz w:val="28"/>
          <w:szCs w:val="28"/>
        </w:rPr>
        <w:t xml:space="preserve">, and </w:t>
      </w:r>
      <w:proofErr w:type="spellStart"/>
      <w:r>
        <w:rPr>
          <w:rFonts w:ascii="Arial" w:eastAsia="Arial" w:hAnsi="Arial" w:cs="Arial"/>
          <w:b/>
          <w:sz w:val="28"/>
          <w:szCs w:val="28"/>
        </w:rPr>
        <w:t>Differenza</w:t>
      </w:r>
      <w:proofErr w:type="spellEnd"/>
      <w:r>
        <w:rPr>
          <w:rFonts w:ascii="Arial" w:eastAsia="Arial" w:hAnsi="Arial" w:cs="Arial"/>
          <w:b/>
          <w:sz w:val="28"/>
          <w:szCs w:val="28"/>
        </w:rPr>
        <w:t xml:space="preserve"> Donna</w:t>
      </w:r>
      <w:r>
        <w:rPr>
          <w:rFonts w:ascii="Arial" w:eastAsia="Arial" w:hAnsi="Arial" w:cs="Arial"/>
          <w:sz w:val="28"/>
          <w:szCs w:val="28"/>
        </w:rPr>
        <w:t xml:space="preserve"> have developed projects aimed at addressing violence against women with disabilities, collecting data, training professionals, and raising public awareness on intersectional discrimination.</w:t>
      </w:r>
    </w:p>
    <w:p w14:paraId="00000058" w14:textId="77777777" w:rsidR="00E4171C" w:rsidRDefault="007E43AB">
      <w:pPr>
        <w:spacing w:before="240" w:after="240"/>
        <w:rPr>
          <w:rFonts w:ascii="Arial" w:eastAsia="Arial" w:hAnsi="Arial" w:cs="Arial"/>
          <w:i/>
          <w:sz w:val="28"/>
          <w:szCs w:val="28"/>
        </w:rPr>
      </w:pPr>
      <w:r>
        <w:rPr>
          <w:rFonts w:ascii="Arial" w:eastAsia="Arial" w:hAnsi="Arial" w:cs="Arial"/>
          <w:b/>
          <w:sz w:val="28"/>
          <w:szCs w:val="28"/>
        </w:rPr>
        <w:lastRenderedPageBreak/>
        <w:t>• Regional Law No. 33 of August 2, 2018 – “</w:t>
      </w:r>
      <w:proofErr w:type="spellStart"/>
      <w:r>
        <w:rPr>
          <w:rFonts w:ascii="Arial" w:eastAsia="Arial" w:hAnsi="Arial" w:cs="Arial"/>
          <w:b/>
          <w:sz w:val="28"/>
          <w:szCs w:val="28"/>
        </w:rPr>
        <w:t>Reddito</w:t>
      </w:r>
      <w:proofErr w:type="spellEnd"/>
      <w:r>
        <w:rPr>
          <w:rFonts w:ascii="Arial" w:eastAsia="Arial" w:hAnsi="Arial" w:cs="Arial"/>
          <w:b/>
          <w:sz w:val="28"/>
          <w:szCs w:val="28"/>
        </w:rPr>
        <w:t xml:space="preserve"> di </w:t>
      </w:r>
      <w:proofErr w:type="spellStart"/>
      <w:r>
        <w:rPr>
          <w:rFonts w:ascii="Arial" w:eastAsia="Arial" w:hAnsi="Arial" w:cs="Arial"/>
          <w:b/>
          <w:sz w:val="28"/>
          <w:szCs w:val="28"/>
        </w:rPr>
        <w:t>Libertà</w:t>
      </w:r>
      <w:proofErr w:type="spellEnd"/>
      <w:r>
        <w:rPr>
          <w:rFonts w:ascii="Arial" w:eastAsia="Arial" w:hAnsi="Arial" w:cs="Arial"/>
          <w:b/>
          <w:sz w:val="28"/>
          <w:szCs w:val="28"/>
        </w:rPr>
        <w:t>” (Freedom Income):</w:t>
      </w:r>
      <w:r>
        <w:rPr>
          <w:rFonts w:ascii="Arial" w:eastAsia="Arial" w:hAnsi="Arial" w:cs="Arial"/>
          <w:b/>
          <w:sz w:val="28"/>
          <w:szCs w:val="28"/>
        </w:rPr>
        <w:br/>
      </w:r>
      <w:r>
        <w:rPr>
          <w:rFonts w:ascii="Arial" w:eastAsia="Arial" w:hAnsi="Arial" w:cs="Arial"/>
          <w:sz w:val="28"/>
          <w:szCs w:val="28"/>
        </w:rPr>
        <w:t xml:space="preserve"> Established by the Regional Council of Sardinia, this law introduced the </w:t>
      </w:r>
      <w:r>
        <w:rPr>
          <w:rFonts w:ascii="Arial" w:eastAsia="Arial" w:hAnsi="Arial" w:cs="Arial"/>
          <w:i/>
          <w:sz w:val="28"/>
          <w:szCs w:val="28"/>
        </w:rPr>
        <w:t>Freedom Income</w:t>
      </w:r>
      <w:r>
        <w:rPr>
          <w:rFonts w:ascii="Arial" w:eastAsia="Arial" w:hAnsi="Arial" w:cs="Arial"/>
          <w:sz w:val="28"/>
          <w:szCs w:val="28"/>
        </w:rPr>
        <w:t>, a measure designed to combat gender-based violence.</w:t>
      </w:r>
      <w:r>
        <w:rPr>
          <w:rFonts w:ascii="Arial" w:eastAsia="Arial" w:hAnsi="Arial" w:cs="Arial"/>
          <w:sz w:val="28"/>
          <w:szCs w:val="28"/>
        </w:rPr>
        <w:br/>
        <w:t xml:space="preserve"> According to Article 1, </w:t>
      </w:r>
      <w:r>
        <w:rPr>
          <w:rFonts w:ascii="Arial" w:eastAsia="Arial" w:hAnsi="Arial" w:cs="Arial"/>
          <w:i/>
          <w:sz w:val="28"/>
          <w:szCs w:val="28"/>
        </w:rPr>
        <w:t>“The Autonomous Region of Sardinia [...] actively works to ensure that every woman who is a victim of domestic violence and in a condition of material poverty can overcome economic dependence, abuse, and coercion, and be enabled to access essential goods and participate in social life with dignity.”</w:t>
      </w:r>
    </w:p>
    <w:p w14:paraId="00000059" w14:textId="77777777" w:rsidR="00E4171C" w:rsidRDefault="007E43AB">
      <w:pPr>
        <w:spacing w:before="240" w:after="240"/>
        <w:rPr>
          <w:rFonts w:ascii="Arial" w:eastAsia="Arial" w:hAnsi="Arial" w:cs="Arial"/>
          <w:sz w:val="28"/>
          <w:szCs w:val="28"/>
        </w:rPr>
      </w:pPr>
      <w:r>
        <w:rPr>
          <w:rFonts w:ascii="Arial" w:eastAsia="Arial" w:hAnsi="Arial" w:cs="Arial"/>
          <w:sz w:val="28"/>
          <w:szCs w:val="28"/>
        </w:rPr>
        <w:t xml:space="preserve">The </w:t>
      </w:r>
      <w:proofErr w:type="spellStart"/>
      <w:r>
        <w:rPr>
          <w:rFonts w:ascii="Arial" w:eastAsia="Arial" w:hAnsi="Arial" w:cs="Arial"/>
          <w:i/>
          <w:sz w:val="28"/>
          <w:szCs w:val="28"/>
        </w:rPr>
        <w:t>Reddito</w:t>
      </w:r>
      <w:proofErr w:type="spellEnd"/>
      <w:r>
        <w:rPr>
          <w:rFonts w:ascii="Arial" w:eastAsia="Arial" w:hAnsi="Arial" w:cs="Arial"/>
          <w:i/>
          <w:sz w:val="28"/>
          <w:szCs w:val="28"/>
        </w:rPr>
        <w:t xml:space="preserve"> di </w:t>
      </w:r>
      <w:proofErr w:type="spellStart"/>
      <w:r>
        <w:rPr>
          <w:rFonts w:ascii="Arial" w:eastAsia="Arial" w:hAnsi="Arial" w:cs="Arial"/>
          <w:i/>
          <w:sz w:val="28"/>
          <w:szCs w:val="28"/>
        </w:rPr>
        <w:t>Libertà</w:t>
      </w:r>
      <w:proofErr w:type="spellEnd"/>
      <w:r>
        <w:rPr>
          <w:rFonts w:ascii="Arial" w:eastAsia="Arial" w:hAnsi="Arial" w:cs="Arial"/>
          <w:sz w:val="28"/>
          <w:szCs w:val="28"/>
        </w:rPr>
        <w:t xml:space="preserve"> is conceived as a </w:t>
      </w:r>
      <w:r>
        <w:rPr>
          <w:rFonts w:ascii="Arial" w:eastAsia="Arial" w:hAnsi="Arial" w:cs="Arial"/>
          <w:b/>
          <w:sz w:val="28"/>
          <w:szCs w:val="28"/>
        </w:rPr>
        <w:t>pact between the Region and the woman victim of violence</w:t>
      </w:r>
      <w:r>
        <w:rPr>
          <w:rFonts w:ascii="Arial" w:eastAsia="Arial" w:hAnsi="Arial" w:cs="Arial"/>
          <w:sz w:val="28"/>
          <w:szCs w:val="28"/>
        </w:rPr>
        <w:t>—with or without minor children—under which the beneficiary commits to participating in a personalized project aimed at achieving or regaining personal, social, and economic independence.</w:t>
      </w:r>
    </w:p>
    <w:p w14:paraId="0000005A" w14:textId="77777777" w:rsidR="00E4171C" w:rsidRDefault="007E43AB">
      <w:pPr>
        <w:spacing w:before="240" w:after="240"/>
        <w:rPr>
          <w:rFonts w:ascii="Arial" w:eastAsia="Arial" w:hAnsi="Arial" w:cs="Arial"/>
          <w:sz w:val="28"/>
          <w:szCs w:val="28"/>
        </w:rPr>
      </w:pPr>
      <w:r>
        <w:rPr>
          <w:rFonts w:ascii="Arial" w:eastAsia="Arial" w:hAnsi="Arial" w:cs="Arial"/>
          <w:sz w:val="28"/>
          <w:szCs w:val="28"/>
        </w:rPr>
        <w:t xml:space="preserve">Although not specifically targeted at women with disabilities, it represents a </w:t>
      </w:r>
      <w:r>
        <w:rPr>
          <w:rFonts w:ascii="Arial" w:eastAsia="Arial" w:hAnsi="Arial" w:cs="Arial"/>
          <w:b/>
          <w:sz w:val="28"/>
          <w:szCs w:val="28"/>
        </w:rPr>
        <w:t>positive legislative example</w:t>
      </w:r>
      <w:r>
        <w:rPr>
          <w:rFonts w:ascii="Arial" w:eastAsia="Arial" w:hAnsi="Arial" w:cs="Arial"/>
          <w:sz w:val="28"/>
          <w:szCs w:val="28"/>
        </w:rPr>
        <w:t xml:space="preserve"> with potential </w:t>
      </w:r>
      <w:r>
        <w:rPr>
          <w:rFonts w:ascii="Arial" w:eastAsia="Arial" w:hAnsi="Arial" w:cs="Arial"/>
          <w:b/>
          <w:sz w:val="28"/>
          <w:szCs w:val="28"/>
        </w:rPr>
        <w:t>relevance and adaptability</w:t>
      </w:r>
      <w:r>
        <w:rPr>
          <w:rFonts w:ascii="Arial" w:eastAsia="Arial" w:hAnsi="Arial" w:cs="Arial"/>
          <w:sz w:val="28"/>
          <w:szCs w:val="28"/>
        </w:rPr>
        <w:t xml:space="preserve"> to their situation, particularly if accessibility and inclusivity are strengthened.</w:t>
      </w:r>
    </w:p>
    <w:p w14:paraId="0000005C" w14:textId="1F663A00" w:rsidR="00E4171C" w:rsidRPr="008626C2" w:rsidRDefault="007E43AB">
      <w:pPr>
        <w:pBdr>
          <w:top w:val="nil"/>
          <w:left w:val="nil"/>
          <w:bottom w:val="nil"/>
          <w:right w:val="nil"/>
          <w:between w:val="nil"/>
        </w:pBdr>
        <w:spacing w:line="240" w:lineRule="auto"/>
        <w:rPr>
          <w:rFonts w:ascii="Arial" w:eastAsia="Arial" w:hAnsi="Arial" w:cs="Arial"/>
          <w:sz w:val="28"/>
          <w:szCs w:val="28"/>
        </w:rPr>
      </w:pPr>
      <w:r w:rsidRPr="008626C2">
        <w:rPr>
          <w:rFonts w:ascii="Arial" w:eastAsia="Arial" w:hAnsi="Arial" w:cs="Arial"/>
          <w:sz w:val="28"/>
          <w:szCs w:val="28"/>
        </w:rPr>
        <w:t>These initiatives demonstrate progress but remain fragmented, often project-based, and inadequately resourced. A coherent national strategy is still required to ensure the effective protection and promotion of the rights of women and girls with disabilities in Italy.</w:t>
      </w:r>
    </w:p>
    <w:p w14:paraId="0000005D" w14:textId="77777777" w:rsidR="00E4171C" w:rsidRPr="008626C2" w:rsidRDefault="007E43AB">
      <w:pPr>
        <w:pBdr>
          <w:top w:val="nil"/>
          <w:left w:val="nil"/>
          <w:bottom w:val="nil"/>
          <w:right w:val="nil"/>
          <w:between w:val="nil"/>
        </w:pBdr>
        <w:spacing w:line="240" w:lineRule="auto"/>
        <w:rPr>
          <w:rFonts w:ascii="Arial" w:eastAsia="Arial" w:hAnsi="Arial" w:cs="Arial"/>
          <w:sz w:val="28"/>
          <w:szCs w:val="28"/>
        </w:rPr>
      </w:pPr>
      <w:r w:rsidRPr="008626C2">
        <w:rPr>
          <w:rFonts w:ascii="Arial" w:eastAsia="Arial" w:hAnsi="Arial" w:cs="Arial"/>
          <w:sz w:val="28"/>
          <w:szCs w:val="28"/>
        </w:rPr>
        <w:t xml:space="preserve">Moreover, </w:t>
      </w:r>
      <w:r w:rsidRPr="008626C2">
        <w:rPr>
          <w:rFonts w:ascii="Arial" w:eastAsia="Arial" w:hAnsi="Arial" w:cs="Arial"/>
          <w:b/>
          <w:sz w:val="28"/>
          <w:szCs w:val="28"/>
        </w:rPr>
        <w:t>organizations of persons with disabilities (OPDs) are rarely consulted</w:t>
      </w:r>
      <w:r w:rsidRPr="008626C2">
        <w:rPr>
          <w:rFonts w:ascii="Arial" w:eastAsia="Arial" w:hAnsi="Arial" w:cs="Arial"/>
          <w:sz w:val="28"/>
          <w:szCs w:val="28"/>
        </w:rPr>
        <w:t xml:space="preserve"> in the design, decision-making, and implementation of measures, programmes, and actions that directly concern them, contrary to the principles of participation and inclusion established by the CRPD.</w:t>
      </w:r>
    </w:p>
    <w:p w14:paraId="0000005F" w14:textId="77777777" w:rsidR="00E4171C" w:rsidRDefault="00E4171C">
      <w:pPr>
        <w:spacing w:after="0" w:line="240" w:lineRule="auto"/>
        <w:rPr>
          <w:rFonts w:ascii="Arial" w:eastAsia="Arial" w:hAnsi="Arial" w:cs="Arial"/>
          <w:sz w:val="28"/>
          <w:szCs w:val="28"/>
        </w:rPr>
      </w:pPr>
    </w:p>
    <w:sectPr w:rsidR="00E4171C">
      <w:footerReference w:type="default" r:id="rId3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4525B" w14:textId="77777777" w:rsidR="004F08DF" w:rsidRDefault="007E43AB">
      <w:pPr>
        <w:spacing w:after="0" w:line="240" w:lineRule="auto"/>
      </w:pPr>
      <w:r>
        <w:separator/>
      </w:r>
    </w:p>
  </w:endnote>
  <w:endnote w:type="continuationSeparator" w:id="0">
    <w:p w14:paraId="4F7CC5E8" w14:textId="77777777" w:rsidR="004F08DF" w:rsidRDefault="007E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095481"/>
      <w:docPartObj>
        <w:docPartGallery w:val="Page Numbers (Bottom of Page)"/>
        <w:docPartUnique/>
      </w:docPartObj>
    </w:sdtPr>
    <w:sdtEndPr/>
    <w:sdtContent>
      <w:p w14:paraId="5817C093" w14:textId="16F2602F" w:rsidR="00610225" w:rsidRDefault="00610225">
        <w:pPr>
          <w:pStyle w:val="Pidipagina"/>
          <w:jc w:val="right"/>
        </w:pPr>
        <w:r>
          <w:fldChar w:fldCharType="begin"/>
        </w:r>
        <w:r>
          <w:instrText>PAGE   \* MERGEFORMAT</w:instrText>
        </w:r>
        <w:r>
          <w:fldChar w:fldCharType="separate"/>
        </w:r>
        <w:r>
          <w:rPr>
            <w:lang w:val="it-IT"/>
          </w:rPr>
          <w:t>2</w:t>
        </w:r>
        <w:r>
          <w:fldChar w:fldCharType="end"/>
        </w:r>
      </w:p>
    </w:sdtContent>
  </w:sdt>
  <w:p w14:paraId="7A9054A3" w14:textId="77777777" w:rsidR="00610225" w:rsidRDefault="006102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590A5" w14:textId="77777777" w:rsidR="004F08DF" w:rsidRDefault="007E43AB">
      <w:pPr>
        <w:spacing w:after="0" w:line="240" w:lineRule="auto"/>
      </w:pPr>
      <w:r>
        <w:separator/>
      </w:r>
    </w:p>
  </w:footnote>
  <w:footnote w:type="continuationSeparator" w:id="0">
    <w:p w14:paraId="2F3A3F8A" w14:textId="77777777" w:rsidR="004F08DF" w:rsidRDefault="007E43AB">
      <w:pPr>
        <w:spacing w:after="0" w:line="240" w:lineRule="auto"/>
      </w:pPr>
      <w:r>
        <w:continuationSeparator/>
      </w:r>
    </w:p>
  </w:footnote>
  <w:footnote w:id="1">
    <w:p w14:paraId="00000060" w14:textId="77777777" w:rsidR="00E4171C" w:rsidRDefault="007E43AB">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ISTAT: National Institute of Statistics</w:t>
      </w:r>
    </w:p>
    <w:p w14:paraId="00000061" w14:textId="77777777" w:rsidR="00E4171C" w:rsidRDefault="00E4171C">
      <w:pPr>
        <w:pBdr>
          <w:top w:val="nil"/>
          <w:left w:val="nil"/>
          <w:bottom w:val="nil"/>
          <w:right w:val="nil"/>
          <w:between w:val="nil"/>
        </w:pBdr>
        <w:spacing w:after="0" w:line="240" w:lineRule="auto"/>
        <w:rPr>
          <w:rFonts w:ascii="Arial" w:eastAsia="Arial" w:hAnsi="Arial" w:cs="Arial"/>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E98"/>
    <w:multiLevelType w:val="multilevel"/>
    <w:tmpl w:val="12B85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B1E30"/>
    <w:multiLevelType w:val="multilevel"/>
    <w:tmpl w:val="AA5E5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E57D44"/>
    <w:multiLevelType w:val="multilevel"/>
    <w:tmpl w:val="E4005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3021DE"/>
    <w:multiLevelType w:val="multilevel"/>
    <w:tmpl w:val="E6723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1C"/>
    <w:rsid w:val="002B2F6D"/>
    <w:rsid w:val="00406187"/>
    <w:rsid w:val="004530B8"/>
    <w:rsid w:val="004F08DF"/>
    <w:rsid w:val="00610225"/>
    <w:rsid w:val="007E43AB"/>
    <w:rsid w:val="008626C2"/>
    <w:rsid w:val="00867C44"/>
    <w:rsid w:val="00942E3C"/>
    <w:rsid w:val="009C6C9E"/>
    <w:rsid w:val="00AC63EF"/>
    <w:rsid w:val="00B16067"/>
    <w:rsid w:val="00B5271E"/>
    <w:rsid w:val="00C11005"/>
    <w:rsid w:val="00E4171C"/>
    <w:rsid w:val="00F85642"/>
    <w:rsid w:val="00FB2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AEC"/>
  <w15:docId w15:val="{57B4FD4A-DFEE-43BC-99BD-AEAA2DD1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uiPriority w:val="9"/>
    <w:semiHidden/>
    <w:unhideWhenUsed/>
    <w:qFormat/>
    <w:pPr>
      <w:keepNext/>
      <w:keepLines/>
      <w:spacing w:before="40" w:after="0"/>
      <w:outlineLvl w:val="2"/>
    </w:pPr>
    <w:rPr>
      <w:color w:val="1F3863"/>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C110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1005"/>
    <w:rPr>
      <w:rFonts w:ascii="Segoe UI" w:hAnsi="Segoe UI" w:cs="Segoe UI"/>
      <w:sz w:val="18"/>
      <w:szCs w:val="18"/>
    </w:rPr>
  </w:style>
  <w:style w:type="paragraph" w:styleId="Intestazione">
    <w:name w:val="header"/>
    <w:basedOn w:val="Normale"/>
    <w:link w:val="IntestazioneCarattere"/>
    <w:uiPriority w:val="99"/>
    <w:unhideWhenUsed/>
    <w:rsid w:val="00942E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2E3C"/>
  </w:style>
  <w:style w:type="paragraph" w:styleId="Pidipagina">
    <w:name w:val="footer"/>
    <w:basedOn w:val="Normale"/>
    <w:link w:val="PidipaginaCarattere"/>
    <w:uiPriority w:val="99"/>
    <w:unhideWhenUsed/>
    <w:rsid w:val="00942E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62011CJ0312" TargetMode="External"/><Relationship Id="rId13" Type="http://schemas.openxmlformats.org/officeDocument/2006/relationships/hyperlink" Target="https://www.parlamento.it/parlam/leggi/06067l.htm" TargetMode="External"/><Relationship Id="rId18" Type="http://schemas.openxmlformats.org/officeDocument/2006/relationships/hyperlink" Target="http://www.garantedisabilita.it" TargetMode="External"/><Relationship Id="rId26" Type="http://schemas.openxmlformats.org/officeDocument/2006/relationships/hyperlink" Target="https://www.disabilmentemamme.it" TargetMode="External"/><Relationship Id="rId3" Type="http://schemas.openxmlformats.org/officeDocument/2006/relationships/settings" Target="settings.xml"/><Relationship Id="rId21" Type="http://schemas.openxmlformats.org/officeDocument/2006/relationships/hyperlink" Target="https://www.istat.it/it/archivio/287411" TargetMode="External"/><Relationship Id="rId7" Type="http://schemas.openxmlformats.org/officeDocument/2006/relationships/image" Target="media/image1.png"/><Relationship Id="rId12" Type="http://schemas.openxmlformats.org/officeDocument/2006/relationships/hyperlink" Target="https://www.normattiva.it/uri-res/N2Ls?urn:nir:stato:decreto.legislativo:2006-04-11;198" TargetMode="External"/><Relationship Id="rId17" Type="http://schemas.openxmlformats.org/officeDocument/2006/relationships/hyperlink" Target="https://www.pariopportunita.gov.it/it/" TargetMode="External"/><Relationship Id="rId25" Type="http://schemas.openxmlformats.org/officeDocument/2006/relationships/hyperlink" Target="https://informareunh.it/la-disabilita-nella-ripartizione-delle-risorse-statali-per-i-centri-antiviolenza-e-le-case-rifugio/" TargetMode="External"/><Relationship Id="rId2" Type="http://schemas.openxmlformats.org/officeDocument/2006/relationships/styles" Target="styles.xml"/><Relationship Id="rId16" Type="http://schemas.openxmlformats.org/officeDocument/2006/relationships/hyperlink" Target="https://cidu.esteri.it/comitatodirittiumani/it/" TargetMode="External"/><Relationship Id="rId20" Type="http://schemas.openxmlformats.org/officeDocument/2006/relationships/hyperlink" Target="https://www.gazzettaufficiale.it/eli/id/2022/05/24/22G00062/sg" TargetMode="External"/><Relationship Id="rId29" Type="http://schemas.openxmlformats.org/officeDocument/2006/relationships/hyperlink" Target="https://hudoc.echr.coe.int/f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legge:1992-02-05;104~art3" TargetMode="External"/><Relationship Id="rId24" Type="http://schemas.openxmlformats.org/officeDocument/2006/relationships/hyperlink" Target="https://www.associazioneasmed.i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terno.gov.it/it/ministero/osservatori-commissioni-e-centri-coordinamento/osservatorio-sicurezza-contro-atti-discriminatori-oscad" TargetMode="External"/><Relationship Id="rId23" Type="http://schemas.openxmlformats.org/officeDocument/2006/relationships/hyperlink" Target="https://www.quicomo.it/cronaca/orrore-comunita-disabili-cantu-abusi-sessuali-film-hard-arresto.html" TargetMode="External"/><Relationship Id="rId28" Type="http://schemas.openxmlformats.org/officeDocument/2006/relationships/hyperlink" Target="https://tbinternet.ohchr.org/_layouts/15/treatybodyexternal/Download.aspx?symbolno=CRPD%2fC%2f27%2fD%2f51%2f2018&amp;Lang=en" TargetMode="External"/><Relationship Id="rId10" Type="http://schemas.openxmlformats.org/officeDocument/2006/relationships/hyperlink" Target="https://www.normattiva.it/uri-res/N2Ls?urn:nir:stato:legge:1992-02-05;104~art3" TargetMode="External"/><Relationship Id="rId19" Type="http://schemas.openxmlformats.org/officeDocument/2006/relationships/hyperlink" Target="https://www.istat.it/it/files/2018/04/progetto_generale_dpo_istat_04.03.2017.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4-05-03;62" TargetMode="External"/><Relationship Id="rId14" Type="http://schemas.openxmlformats.org/officeDocument/2006/relationships/hyperlink" Target="https://www.unar.it/portale/" TargetMode="External"/><Relationship Id="rId22" Type="http://schemas.openxmlformats.org/officeDocument/2006/relationships/hyperlink" Target="https://www.istat.it/statistiche-per-temi/focus/violenza-sulle-donne/il-fenomeno/violenza-dentro-e-fuori-la-famiglia/il-numero-delle-vittime-e-le-forme-di-violenza/" TargetMode="External"/><Relationship Id="rId27" Type="http://schemas.openxmlformats.org/officeDocument/2006/relationships/hyperlink" Target="https://tbinternet.ohchr.org/_layouts/15/treatybodyexternal/Download.aspx?symbolno=CRPD%2fC%2f27%2fD%2f51%2f2018&amp;Lang=e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3761</Words>
  <Characters>21440</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Cegna</dc:creator>
  <cp:lastModifiedBy>Patrizia Cegna</cp:lastModifiedBy>
  <cp:revision>2</cp:revision>
  <dcterms:created xsi:type="dcterms:W3CDTF">2026-02-10T15:03:00Z</dcterms:created>
  <dcterms:modified xsi:type="dcterms:W3CDTF">2026-02-10T15:03:00Z</dcterms:modified>
</cp:coreProperties>
</file>