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b/>
          <w:bCs/>
          <w:color w:val="000000"/>
          <w:sz w:val="26"/>
          <w:szCs w:val="26"/>
        </w:rPr>
        <w:t xml:space="preserve"> </w:t>
      </w:r>
      <w:r>
        <w:rPr>
          <w:rFonts w:eastAsia="Times New Roman"/>
          <w:b/>
          <w:bCs/>
          <w:color w:val="000000"/>
          <w:sz w:val="26"/>
          <w:szCs w:val="24"/>
        </w:rPr>
        <w:t>NUOVI ORIZZONTI art. 40 – COMO</w:t>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ATTIVITÀ DEGLI OPERATORI VOLONTARI: </w:t>
      </w:r>
    </w:p>
    <w:p>
      <w:pPr>
        <w:pStyle w:val="Normal"/>
        <w:tabs>
          <w:tab w:val="clear" w:pos="720"/>
          <w:tab w:val="left" w:pos="744" w:leader="none"/>
        </w:tabs>
        <w:spacing w:before="0" w:after="0"/>
        <w:ind w:left="1134" w:hanging="708"/>
        <w:jc w:val="both"/>
        <w:rPr>
          <w:i/>
          <w:i/>
        </w:rPr>
      </w:pPr>
      <w:r>
        <w:rPr>
          <w:i/>
        </w:rPr>
        <w:t>L’attività ordinaria che sarà svolta dagli operatori volontari presso gli assistiti è rappresentata principalmente dal servizio di accompagnamento come supporto fondamentale ed indispensabile per il disabile visivo che, grazie ad un accompagnatore può considerarsi parzialmente sollevato dalle problematiche legate alla sua disabilità; gli occhi del volontario rappresentano un strumento prezioso verso la vera integrazione.</w:t>
      </w:r>
    </w:p>
    <w:p>
      <w:pPr>
        <w:pStyle w:val="Normal"/>
        <w:tabs>
          <w:tab w:val="clear" w:pos="720"/>
          <w:tab w:val="left" w:pos="744" w:leader="none"/>
        </w:tabs>
        <w:spacing w:before="0" w:after="0"/>
        <w:ind w:left="1134" w:hanging="708"/>
        <w:jc w:val="both"/>
        <w:rPr>
          <w:i/>
          <w:i/>
        </w:rPr>
      </w:pPr>
      <w:r>
        <w:rPr>
          <w:i/>
        </w:rPr>
        <w:t>1-</w:t>
        <w:tab/>
      </w:r>
      <w:r>
        <w:rPr>
          <w:i/>
          <w:u w:val="single"/>
        </w:rPr>
        <w:t>Servizio di accompagnamento ed assistenza in ambito medico/sanitario</w:t>
      </w:r>
      <w:r>
        <w:rPr>
          <w:i/>
        </w:rPr>
        <w:t xml:space="preserve"> per n.2 soggetti di seguito specificati – CASARTELLI RENATA – GARZON AGNESE: Sostegno e affiancamento in occasione di visite mediche specialistiche e terapie presso ospedali, medici di famiglia, Aziende Sanitarie Locali, ambulatori privati e Commissioni mediche Inps. La presenza del volontario solleva il non vedente da una serie di disagi e difficoltà rappresentati dalle barriere, non solo architettoniche, ma anche fisiche e morali incontrate in questi luoghi spesso mal organizzati ed affollati. Servizio di lettura di documentazione e corrispondenza non accessibile in autonomia, assistenza durante i rapporti con i medici di famiglia, con i centri di prenotazioni visite ed esami diagnostici e gli uffici di assistenza protesica per l’ottenimento di strumentazione tecnica/informatica attraverso il Nomenclatore Tariffario.</w:t>
      </w:r>
    </w:p>
    <w:p>
      <w:pPr>
        <w:pStyle w:val="Normal"/>
        <w:tabs>
          <w:tab w:val="clear" w:pos="720"/>
          <w:tab w:val="left" w:pos="744" w:leader="none"/>
        </w:tabs>
        <w:spacing w:before="0" w:after="0"/>
        <w:ind w:left="1134" w:hanging="708"/>
        <w:jc w:val="both"/>
        <w:rPr>
          <w:i/>
          <w:i/>
        </w:rPr>
      </w:pPr>
      <w:r>
        <w:rPr>
          <w:i/>
        </w:rPr>
        <w:t>2-</w:t>
        <w:tab/>
      </w:r>
      <w:r>
        <w:rPr>
          <w:i/>
          <w:u w:val="single"/>
        </w:rPr>
        <w:t>Servizio di accompagnamento e assistenza che riguardano l’ambito lavorativo</w:t>
      </w:r>
      <w:r>
        <w:rPr>
          <w:i/>
        </w:rPr>
        <w:t xml:space="preserve"> per 3 soggetti di seguito specificati GIANFERRARI SILVIA – MOTTALINI ANDREA – CASALINO GIANLUCA – Accompagnamento per il raggiungimento della sede dell’attività lavorativa, assistenza e supporto nel disbrigo di pratiche e commissioni, servizio di lettura di documentazione e corrispondenza non accessibile in autonomia. Attività di sostegno alla frequenza di corsi di formazione ed aggiornamento professionale. Servizio di assistenza e aiuto nel controllo ambientale ed alla sorveglianza (SEMPRE IN AMBITO LAVORATIVO) durante le ore di lezione per una docente non vedente di Greco antico </w:t>
      </w:r>
      <w:bookmarkStart w:id="0" w:name="_GoBack1"/>
      <w:bookmarkEnd w:id="0"/>
      <w:r>
        <w:rPr>
          <w:i/>
        </w:rPr>
        <w:t>(già citata sopra e precisamente la Prof. Silvia Gianferrari), che insegna al Liceo Classico “Alessandro Volta” di Como. In orari extra scolastici, aiuto tecnico fondamentale per la predisposizione di documenti e materiali scolastici informatici (libri testo, esercitazioni, compiti in classe etc), lettura ad alta voce di alcuni testi necessari per mettere a punto il programma scolastico giornaliero. Accompagnamento ed assistenza durante le riunioni scolastiche dei docenti e gli incontri con le famiglie.</w:t>
      </w:r>
    </w:p>
    <w:p>
      <w:pPr>
        <w:pStyle w:val="Normal"/>
        <w:tabs>
          <w:tab w:val="clear" w:pos="720"/>
          <w:tab w:val="left" w:pos="744" w:leader="none"/>
        </w:tabs>
        <w:spacing w:before="0" w:after="0"/>
        <w:ind w:left="1134" w:hanging="708"/>
        <w:jc w:val="both"/>
        <w:rPr>
          <w:i/>
          <w:i/>
        </w:rPr>
      </w:pPr>
      <w:r>
        <w:rPr>
          <w:i/>
        </w:rPr>
        <w:t>3-</w:t>
        <w:tab/>
      </w:r>
      <w:r>
        <w:rPr>
          <w:i/>
          <w:u w:val="single"/>
        </w:rPr>
        <w:t xml:space="preserve">Servizio di accompagnamento per attività sociali ed associative </w:t>
      </w:r>
      <w:r>
        <w:rPr>
          <w:i/>
        </w:rPr>
        <w:t>per n. 1 soggetto l’attività ordinaria riguarderà principalmente l’accompagnamento, l’assistenza e il sostegno durante l’attività istituzionale del Legale Rappresentante dell’Ente Unione Italiana Ciechi e Ipovedenti di Como. Il volontario affiancherà l’assistito durante ogni suo impegno: affiancamento durante  il  coordinamento di tutte le attività, partecipazione a riunioni Consiglio Direttivo e Ufficio di Presidenza interne all’associazione, incontri presso uffici pubblici, comune, prefettura, FAND Federazione Nazionale Associazioni Disabili, Inps, Ats, Consiglio Regionale Lombardo UICI), collaborazione per la messa a punto di protocolli di intesa volti al miglioramento delle condizioni di vita e dell’autonomia dei non vedenti e ipovedenti, lettura di corrispondenza e documenti sezionali,  collaborazione nella redazione di lettere e comunicati diffusi attraverso i canali di informazione (sito internet, Facebook, redazione e registrazione di notiziari informativi telefonici aggiornati con cadenza settimanale etc).</w:t>
      </w:r>
    </w:p>
    <w:p>
      <w:pPr>
        <w:pStyle w:val="Normal"/>
        <w:tabs>
          <w:tab w:val="clear" w:pos="720"/>
          <w:tab w:val="left" w:pos="744" w:leader="none"/>
        </w:tabs>
        <w:spacing w:before="0" w:after="0"/>
        <w:ind w:left="1134" w:hanging="708"/>
        <w:jc w:val="both"/>
        <w:rPr>
          <w:i/>
          <w:i/>
        </w:rPr>
      </w:pPr>
      <w:r>
        <w:rPr>
          <w:i/>
        </w:rPr>
        <w:t>4-</w:t>
        <w:tab/>
        <w:t xml:space="preserve">i volontari dovranno poi garantire l’accompagnamento ai loro assistiti che avranno la necessità di recarsi presso la sede associativa per appuntamenti individuali di persona per pratiche di Segretariato Sociale o di Patronato oppure per frequentare i molteplici corsi riabilitativi organizzati: corsi di alfabetizzazione informatica, corsi di Braille, corsi di firma, corsi di autonomia domestica, attività sportive, riunioni di settore ed incontri tematici. </w:t>
      </w:r>
    </w:p>
    <w:p>
      <w:pPr>
        <w:pStyle w:val="Normal"/>
        <w:tabs>
          <w:tab w:val="clear" w:pos="720"/>
          <w:tab w:val="left" w:pos="744" w:leader="none"/>
        </w:tabs>
        <w:spacing w:before="0" w:after="0"/>
        <w:ind w:left="1134" w:hanging="708"/>
        <w:jc w:val="both"/>
        <w:rPr>
          <w:b w:val="false"/>
          <w:b w:val="false"/>
          <w:bCs w:val="false"/>
          <w:i/>
          <w:i/>
          <w:iCs/>
          <w:sz w:val="24"/>
          <w:szCs w:val="24"/>
        </w:rPr>
      </w:pPr>
      <w:r>
        <w:rPr>
          <w:b w:val="false"/>
          <w:bCs w:val="false"/>
          <w:i/>
          <w:iCs/>
          <w:color w:val="000000"/>
          <w:sz w:val="24"/>
          <w:szCs w:val="24"/>
        </w:rPr>
        <w:t>5-</w:t>
        <w:tab/>
        <w:t>Nell’ambito delle attività riabilitative/associative/culturali/ricreative la presenza dei volontari garantirà la partecipazione degli assistiti anche alle attività organizzate in collaborazione con l’Associazione Iubilantes -Ente partner – (come da lettera di sostegno allegata) che offrirà ai volontari la possibilità di acquisire esperienze nell’ambito delle iniziative legate alla fruizione dei beni culturali, degli itinerari storico/artistici del territorio lariano e dei percorsi “accessibili”.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tabs>
          <w:tab w:val="clear" w:pos="720"/>
          <w:tab w:val="left" w:pos="744" w:leader="none"/>
        </w:tabs>
        <w:spacing w:before="0" w:after="0"/>
        <w:ind w:left="1134" w:hanging="708"/>
        <w:jc w:val="both"/>
        <w:rPr>
          <w:i/>
          <w:i/>
        </w:rPr>
      </w:pPr>
      <w:r>
        <w:rPr>
          <w:i/>
        </w:rPr>
        <w:t>Si prevede la presenza di 2,5 ore settimanali da effettuarsi presso la sede di attuazione del progetto, per stimolare momenti di fattivo confronto con l’Operatore Locale di Progetto, per definire il giusto approccio con gli assistiti nell’ambito dei servizi e per il monitoraggio del servizio con particolare attenzione al tipo di rapporto instaurato;</w:t>
      </w:r>
    </w:p>
    <w:p>
      <w:pPr>
        <w:pStyle w:val="Normal"/>
        <w:tabs>
          <w:tab w:val="clear" w:pos="720"/>
          <w:tab w:val="left" w:pos="744" w:leader="none"/>
        </w:tabs>
        <w:spacing w:before="0" w:after="0"/>
        <w:ind w:left="1134" w:hanging="708"/>
        <w:jc w:val="both"/>
        <w:rPr>
          <w:i/>
          <w:i/>
        </w:rPr>
      </w:pPr>
      <w:r>
        <w:rPr>
          <w:i/>
        </w:rPr>
        <w:t>1-consegna del resoconto settimanale dei servizi effettuati e foglio presenze debitamente firmati;</w:t>
      </w:r>
    </w:p>
    <w:p>
      <w:pPr>
        <w:pStyle w:val="Normal"/>
        <w:tabs>
          <w:tab w:val="clear" w:pos="720"/>
          <w:tab w:val="left" w:pos="744" w:leader="none"/>
        </w:tabs>
        <w:spacing w:before="0" w:after="0"/>
        <w:ind w:left="1134" w:hanging="708"/>
        <w:jc w:val="both"/>
        <w:rPr>
          <w:i/>
          <w:i/>
        </w:rPr>
      </w:pPr>
      <w:r>
        <w:rPr>
          <w:i/>
        </w:rPr>
        <w:t>2-accompagnamento degli assistiti presso l’Ente per il supporto per l’inoltro di pratiche burocratiche a favore e per incarico dei propri assistiti in collaborazione con il personale sezionale (domande di accertamento delle condizioni visive presso Commissione Inps, pratiche di Segretariato Sociale e/o Patronato, tessera/bollettino viaggi regionali, esenzione ticket, richiesta materiale e ausili tiflo/tecnico/informatici, permesso parcheggio e bollo auto, richiesta riduzione aliquota Iva, visite oculistiche o prescrizione ausili presso il Centro CERVI Centro di Educazione e Riabilitazione Visiva c/o Ospedale S. Anna di Como);</w:t>
      </w:r>
    </w:p>
    <w:p>
      <w:pPr>
        <w:pStyle w:val="Normal"/>
        <w:tabs>
          <w:tab w:val="clear" w:pos="720"/>
          <w:tab w:val="left" w:pos="744" w:leader="none"/>
        </w:tabs>
        <w:spacing w:before="0" w:after="0"/>
        <w:ind w:left="1134" w:hanging="708"/>
        <w:jc w:val="both"/>
        <w:rPr>
          <w:i/>
          <w:i/>
        </w:rPr>
      </w:pPr>
      <w:r>
        <w:rPr>
          <w:i/>
        </w:rPr>
        <w:t>3-consultazione di specifici siti web per acquisizione informazioni nell’ambito del settore medico, riabilitativo e lavorativo per conto assistiti</w:t>
      </w:r>
    </w:p>
    <w:p>
      <w:pPr>
        <w:pStyle w:val="Normal"/>
        <w:tabs>
          <w:tab w:val="clear" w:pos="720"/>
          <w:tab w:val="left" w:pos="744" w:leader="none"/>
        </w:tabs>
        <w:spacing w:before="0" w:after="0"/>
        <w:ind w:left="1134" w:hanging="708"/>
        <w:jc w:val="both"/>
        <w:rPr>
          <w:i/>
          <w:i/>
        </w:rPr>
      </w:pPr>
      <w:r>
        <w:rPr>
          <w:i/>
        </w:rPr>
        <w:t xml:space="preserve">4-al personale dell’Ente i volontari potranno richiedere informazioni circa eventuali quesiti posti dagli assistiti e reperire per loro conto materiale informativo e legislativo: questo tipo di attività è fondamentale, soprattutto per quei soggetti che svolgono attività lavorativa e che, per mancanza di tempo, hanno difficoltà a recarsi in sede. </w:t>
      </w:r>
    </w:p>
    <w:p>
      <w:pPr>
        <w:pStyle w:val="Normal"/>
        <w:widowControl/>
        <w:tabs>
          <w:tab w:val="clear" w:pos="720"/>
          <w:tab w:val="left" w:pos="744" w:leader="none"/>
        </w:tabs>
        <w:suppressAutoHyphens w:val="true"/>
        <w:bidi w:val="0"/>
        <w:spacing w:before="0" w:after="0"/>
        <w:ind w:left="1134" w:right="0" w:hanging="0"/>
        <w:jc w:val="both"/>
        <w:rPr>
          <w:i/>
          <w:i/>
        </w:rPr>
      </w:pPr>
      <w:r>
        <w:rPr>
          <w:i/>
        </w:rPr>
        <w:t>I volontari, attraverso la costante presenza in sede, riceveranno tutta l’attenzione e 5-stampa in braille di documenti, dispense, libretti istruzioni per l’utilizzo di vari ausili e attrezzature, richiesta di libri braille e su Cd in comodato;</w:t>
      </w:r>
    </w:p>
    <w:p>
      <w:pPr>
        <w:pStyle w:val="Normal"/>
        <w:tabs>
          <w:tab w:val="clear" w:pos="720"/>
          <w:tab w:val="left" w:pos="744" w:leader="none"/>
        </w:tabs>
        <w:spacing w:before="0" w:after="0"/>
        <w:ind w:left="1134" w:hanging="708"/>
        <w:jc w:val="both"/>
        <w:rPr>
          <w:i/>
          <w:i/>
        </w:rPr>
      </w:pPr>
      <w:r>
        <w:rPr>
          <w:i/>
        </w:rPr>
        <w:t>6-registrazione su Cd Mp3 di documenti, articoli, ricerche richieste dall’assistito</w:t>
      </w:r>
    </w:p>
    <w:p>
      <w:pPr>
        <w:pStyle w:val="Normal"/>
        <w:tabs>
          <w:tab w:val="clear" w:pos="720"/>
          <w:tab w:val="left" w:pos="744" w:leader="none"/>
        </w:tabs>
        <w:spacing w:before="0" w:after="0"/>
        <w:ind w:left="1134" w:hanging="708"/>
        <w:jc w:val="both"/>
        <w:rPr>
          <w:i/>
          <w:i/>
        </w:rPr>
      </w:pPr>
      <w:r>
        <w:rPr>
          <w:i/>
        </w:rPr>
        <w:t>7-consultazione bibloteca Braille e Cdteca per reperimento opere da consegnare agli assititi</w:t>
      </w:r>
    </w:p>
    <w:p>
      <w:pPr>
        <w:pStyle w:val="Normal"/>
        <w:widowControl/>
        <w:tabs>
          <w:tab w:val="clear" w:pos="720"/>
          <w:tab w:val="left" w:pos="744" w:leader="none"/>
        </w:tabs>
        <w:suppressAutoHyphens w:val="true"/>
        <w:bidi w:val="0"/>
        <w:spacing w:before="0" w:after="0"/>
        <w:ind w:left="680" w:right="0" w:hanging="227"/>
        <w:jc w:val="both"/>
        <w:rPr>
          <w:i/>
          <w:i/>
        </w:rPr>
      </w:pPr>
      <w:r>
        <w:rPr>
          <w:i/>
        </w:rPr>
        <w:t>8-tutti i volontari dovranno garantire l’accompagnamento a quei soggetti che avranno la necessità di recarsi presso la sede associativa per frequentare i molteplici corsi riabilitativi organizzati: corsi di alfabetizzazione informatica, corsi di Braille, corsi di firma, corsi di autonomia domestica, attività sportive, riunioni di settore, incontri con Associazione Culturale IUBILANTES per la fruizione dei beni culturali e itinerari del territorio.</w:t>
      </w:r>
    </w:p>
    <w:p>
      <w:pPr>
        <w:pStyle w:val="Normal"/>
        <w:widowControl/>
        <w:tabs>
          <w:tab w:val="clear" w:pos="720"/>
          <w:tab w:val="left" w:pos="744" w:leader="none"/>
        </w:tabs>
        <w:suppressAutoHyphens w:val="true"/>
        <w:bidi w:val="0"/>
        <w:spacing w:before="0" w:after="0"/>
        <w:ind w:left="397" w:right="0" w:hanging="0"/>
        <w:jc w:val="both"/>
        <w:rPr>
          <w:i/>
          <w:i/>
        </w:rPr>
      </w:pPr>
      <w:r>
        <w:rPr>
          <w:i/>
        </w:rPr>
        <w:t>9-reperimento in sede di ausili e attrezzi tiflotecnici di uso quotidiano da consegnare agli assistil’assistenza atte a soddisfare ogni tipo di necessità dei loro assistiti.</w:t>
      </w:r>
    </w:p>
    <w:p>
      <w:pPr>
        <w:pStyle w:val="Normal"/>
        <w:tabs>
          <w:tab w:val="clear" w:pos="720"/>
          <w:tab w:val="left" w:pos="744" w:leader="none"/>
        </w:tabs>
        <w:spacing w:before="0" w:after="0"/>
        <w:ind w:left="1134" w:hanging="708"/>
        <w:jc w:val="both"/>
        <w:rPr>
          <w:i/>
          <w:i/>
        </w:rPr>
      </w:pPr>
      <w:r>
        <w:rPr>
          <w:i/>
        </w:rPr>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p>
            <w:pPr>
              <w:pStyle w:val="Contenutotabella"/>
              <w:widowControl w:val="false"/>
              <w:bidi w:val="0"/>
              <w:jc w:val="center"/>
              <w:rPr>
                <w:color w:val="000000"/>
              </w:rPr>
            </w:pPr>
            <w:r>
              <w:rPr>
                <w:b/>
                <w:bCs/>
                <w:color w:val="000000"/>
                <w:sz w:val="26"/>
                <w:szCs w:val="26"/>
              </w:rPr>
              <w:t>HELIOS</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rPr>
            </w:pPr>
            <w:r>
              <w:rPr>
                <w:rFonts w:eastAsia="Times New Roman"/>
                <w:b/>
                <w:bCs/>
                <w:szCs w:val="24"/>
              </w:rPr>
              <w:t xml:space="preserve">Unione Italiana Dei Ciechi e degli Ipovedenti ETS-APS Sezione territoriale di COMO Via Raschi n. 6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rPr>
            </w:pPr>
            <w:r>
              <w:rPr>
                <w:rFonts w:eastAsia="Times New Roman"/>
                <w:b/>
                <w:bCs/>
                <w:szCs w:val="24"/>
              </w:rPr>
              <w:t xml:space="preserve">cap 22100  Como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rPr>
            </w:pPr>
            <w:r>
              <w:rPr>
                <w:rFonts w:eastAsia="Times New Roman"/>
                <w:b/>
                <w:bCs/>
                <w:szCs w:val="24"/>
              </w:rPr>
              <w:t xml:space="preserve">Tel.: 031570565 e-mail: uicco@uici.it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rPr>
            </w:pPr>
            <w:r>
              <w:rPr>
                <w:rFonts w:eastAsia="Times New Roman"/>
                <w:b/>
                <w:bCs/>
                <w:szCs w:val="24"/>
              </w:rPr>
              <w:t>pec: uicicomo@messaggipec.it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6</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9"/>
              <w:gridCol w:w="6479"/>
              <w:gridCol w:w="1710"/>
            </w:tblGrid>
            <w:tr>
              <w:trPr/>
              <w:tc>
                <w:tcPr>
                  <w:tcW w:w="2159"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79"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9"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79"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9"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9"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9"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9"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9"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9"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79"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9"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9"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9"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9"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79"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9"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79"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9"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79"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9"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9"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9"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79"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1" w:name="_GoBack"/>
                  <w:bookmarkEnd w:id="1"/>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tabs>
          <w:tab w:val="clear" w:pos="720"/>
          <w:tab w:val="left" w:pos="744" w:leader="none"/>
        </w:tabs>
        <w:spacing w:before="0" w:after="240"/>
        <w:rPr>
          <w:i/>
          <w:i/>
        </w:rPr>
      </w:pPr>
      <w:r>
        <w:rPr>
          <w:i/>
        </w:rPr>
        <w:t>-COMO – Unione Italiana Ciechi Sezione Territoriale di Como Via Raschi n. 6 -  22100 Como</w:t>
      </w:r>
    </w:p>
    <w:p>
      <w:pPr>
        <w:pStyle w:val="Normal"/>
        <w:jc w:val="both"/>
        <w:rPr/>
      </w:pPr>
      <w:r>
        <w:rPr>
          <w:sz w:val="22"/>
          <w:szCs w:val="22"/>
        </w:rPr>
        <w:t>- ROMA – Presidenza Nazionale Unione Italiana dei Ciechi e degli Ipovedenti Via Borgognona n. 38 Cap 00187 peri la formazione svolta a distanza (FAD)</w:t>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194</TotalTime>
  <Application>LibreOffice/7.4.2.3$Windows_X86_64 LibreOffice_project/382eef1f22670f7f4118c8c2dd222ec7ad009daf</Application>
  <AppVersion>15.0000</AppVersion>
  <Pages>8</Pages>
  <Words>3071</Words>
  <Characters>18663</Characters>
  <CharactersWithSpaces>21513</CharactersWithSpaces>
  <Paragraphs>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2023-11-13T17:16:23Z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