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sz w:val="26"/>
          <w:szCs w:val="24"/>
        </w:rPr>
        <w:t xml:space="preserve">Unione, azione e condivisione art.40 – Messina </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spacing w:before="0" w:after="120"/>
        <w:jc w:val="both"/>
        <w:rPr>
          <w:bCs/>
        </w:rPr>
      </w:pPr>
      <w:r>
        <w:rPr>
          <w:bCs/>
        </w:rPr>
        <w:t>I volontari saranno impiegati in servizi di accompagnamento dei ciechi civili assegnati, in relazione ai propri personali bisogni: spostamenti per recarsi sul posto di lavoro, visite mediche, controlli oculistici, lettura della corrispondenza, verifica documentazione utenze (ENEL, Telefono, servizi postali e bancari), acquisto generi alimentari, passeggiate, escursioni individuali e collettive, partecipazione ad attività ricreative, sportive, culturali e religiose.</w:t>
      </w:r>
    </w:p>
    <w:p>
      <w:pPr>
        <w:pStyle w:val="Normal"/>
        <w:jc w:val="both"/>
        <w:rPr/>
      </w:pPr>
      <w:r>
        <w:rPr/>
        <w:t xml:space="preserve">I Volontari potranno utilizzare il mezzo di trasporto personale, quello dell’Ente o quello dell’utente con spese a totale carico del non vedente e stipula di apposita assicurazione; </w:t>
      </w:r>
    </w:p>
    <w:p>
      <w:pPr>
        <w:pStyle w:val="Normal"/>
        <w:tabs>
          <w:tab w:val="clear" w:pos="720"/>
          <w:tab w:val="left" w:pos="744" w:leader="none"/>
        </w:tabs>
        <w:spacing w:before="0" w:after="0"/>
        <w:rPr>
          <w:bCs/>
        </w:rPr>
      </w:pPr>
      <w:r>
        <w:rPr>
          <w:bCs/>
        </w:rPr>
        <w:t>Ai volontari saranno assegnati orari di servizio tali da corrispondere alla quantità ed alla qualità delle richieste. Il servizio si esplica dal lunedì al venerdì mattina (25 h alla settimana) e, eccezionalmente, previo assenso dei volontari, il sabato pomeriggio ed anche la domenica, in occasione di eventi particolari: assemblee, convegni, escursioni ed altre attività culturali di interesse del richiedente.</w:t>
      </w:r>
      <w:r>
        <w:rPr/>
        <w:t>.</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jc w:val="both"/>
        <w:rPr/>
      </w:pPr>
      <w:r>
        <w:rPr/>
        <w:t>Promuovere attività culturali, riabilitative, sportive e ricreative indirizzate ai ragazzi per favorirne la socializzazione, lo sviluppo delle autonomie delle persone con disabilità visiva e rafforzando in loro la consapevolezza delle proprie capacità.</w:t>
      </w:r>
    </w:p>
    <w:p>
      <w:pPr>
        <w:pStyle w:val="Normal"/>
        <w:suppressAutoHyphens w:val="false"/>
        <w:spacing w:lineRule="auto" w:line="240" w:before="0" w:after="0"/>
        <w:jc w:val="both"/>
        <w:rPr>
          <w:rFonts w:eastAsia="Batang"/>
        </w:rPr>
      </w:pPr>
      <w:r>
        <w:rPr/>
        <w:t xml:space="preserve">Collaborare con istituzioni, associazioni, enti pubblici e privati che operano nell’ambito della disabilità visiva divulgandone i servizi offerti, </w:t>
      </w:r>
      <w:r>
        <w:rPr>
          <w:rFonts w:eastAsia="Batang"/>
        </w:rPr>
        <w:t>Offrire un’occasione istituzionalmente riconosciuta di formazione civica attraverso un’esperienza scelta volontariamente, volta da una parte alla crescita personale, dall’altra all’accrescimento di competenze di base specifico-professionali. Far acquisire agli operatori volontari una coscienza civica, una sensibilità sociale, un’attenzione per l’altro e per il diverso, sia esso diverso culturalmente, o per sesso, o per età, o diversamente abile, obiettivo fondamentale di tale progetto è permettere l’acquisizione da parte dei giovani volontari di una educazione e di una conoscenza delle tematiche legate alla disabilità;</w:t>
      </w:r>
    </w:p>
    <w:p>
      <w:pPr>
        <w:pStyle w:val="Normal"/>
        <w:suppressAutoHyphens w:val="false"/>
        <w:spacing w:lineRule="auto" w:line="240" w:before="0" w:after="0"/>
        <w:jc w:val="both"/>
        <w:rPr>
          <w:rFonts w:eastAsia="Batang"/>
        </w:rPr>
      </w:pPr>
      <w:r>
        <w:rPr>
          <w:rFonts w:eastAsia="Batang"/>
        </w:rPr>
        <w:t>Offrire uno spazio di coinvolgimento nelle attività dell’ente, attraverso la sperimentazione di una dimensione di vita comunitaria basata sull’accoglienza, la condivisione e la nonviolenza. In questo modo il giovane qualifica e porta un plusvalore alle attività stesse;</w:t>
      </w:r>
    </w:p>
    <w:p>
      <w:pPr>
        <w:pStyle w:val="Normal"/>
        <w:jc w:val="both"/>
        <w:rPr>
          <w:rFonts w:eastAsia="Batang"/>
        </w:rPr>
      </w:pPr>
      <w:r>
        <w:rPr>
          <w:rFonts w:eastAsia="Batang"/>
        </w:rPr>
        <w:t>Permettere agli operatori volontario di acquisire un’esperienza differenziata: una in maniera diretta, tramite lo stretto contatto con il disabile e OLP, ed una indiretta, attraverso lo sviluppo di competenze certificate o semplicemente acquisite, che nel complesso potranno essere valutate positivamente anche in merito alle possibilità di inserimento professionale in analoghi enti pubblici o privati operanti nel settore della disabilità, del terzo settore in genere o spendibili nella quotidianità della vita sociale.</w:t>
      </w:r>
    </w:p>
    <w:p>
      <w:pPr>
        <w:pStyle w:val="Normal"/>
        <w:suppressAutoHyphens w:val="false"/>
        <w:spacing w:lineRule="auto" w:line="240" w:before="0" w:after="0"/>
        <w:jc w:val="both"/>
        <w:rPr>
          <w:rFonts w:eastAsia="Batang"/>
        </w:rPr>
      </w:pPr>
      <w:r>
        <w:rPr>
          <w:rFonts w:eastAsia="Batang"/>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Sezione territoriale di Messina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Via S. Cecilia n. 98      cap 98123 Messina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00 2938637 e-mail: </w:t>
            </w:r>
            <w:hyperlink r:id="rId3">
              <w:r>
                <w:rPr>
                  <w:rStyle w:val="CollegamentoInternet"/>
                </w:rPr>
                <w:t>uicme@uici.it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pec: </w:t>
            </w:r>
            <w:hyperlink r:id="rId4">
              <w:r>
                <w:rPr>
                  <w:rStyle w:val="CollegamentoInternet"/>
                </w:rPr>
                <w:t>info@pec.uiciechimessina.it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48</w:t>
            </w:r>
          </w:p>
          <w:p>
            <w:pPr>
              <w:pStyle w:val="Contenutotabella"/>
              <w:widowControl w:val="false"/>
              <w:bidi w:val="0"/>
              <w:jc w:val="center"/>
              <w:rPr>
                <w:b/>
                <w:b/>
                <w:bCs/>
                <w:sz w:val="26"/>
                <w:szCs w:val="26"/>
              </w:rPr>
            </w:pPr>
            <w:r>
              <w:rPr>
                <w:b/>
                <w:bCs/>
                <w:sz w:val="26"/>
                <w:szCs w:val="26"/>
              </w:rPr>
              <w:t>SENZA VITTO NÈ ALLOGGIO</w:t>
            </w:r>
          </w:p>
        </w:tc>
      </w:tr>
      <w:tr>
        <w:trPr/>
        <w:tc>
          <w:tcPr>
            <w:tcW w:w="5846" w:type="dxa"/>
            <w:tcBorders>
              <w:left w:val="single" w:sz="4" w:space="0" w:color="000000"/>
              <w:bottom w:val="single" w:sz="4" w:space="0" w:color="000000"/>
            </w:tcBorders>
          </w:tcPr>
          <w:p>
            <w:pPr>
              <w:pStyle w:val="Normal"/>
              <w:widowControl w:val="false"/>
              <w:spacing w:lineRule="auto" w:line="240" w:before="0" w:after="0"/>
              <w:jc w:val="left"/>
              <w:rPr>
                <w:b/>
                <w:b/>
                <w:bCs/>
                <w:kern w:val="0"/>
                <w:sz w:val="24"/>
                <w:szCs w:val="24"/>
                <w:lang w:val="it-IT" w:bidi="ar-SA"/>
              </w:rPr>
            </w:pPr>
            <w:r>
              <w:rPr>
                <w:rFonts w:eastAsia="Times New Roman" w:cs="" w:asciiTheme="majorBidi" w:cstheme="majorBidi" w:hAnsiTheme="majorBidi"/>
                <w:b/>
                <w:bCs/>
                <w:kern w:val="0"/>
                <w:sz w:val="24"/>
                <w:szCs w:val="24"/>
                <w:lang w:val="it-IT" w:eastAsia="it-IT" w:bidi="ar-SA"/>
              </w:rPr>
              <w:t xml:space="preserve">Unione Italiana dei Ciechi e degli Ipovedenti ETS-APS Rappresentanza Zonale di CAPRI LEONE (ME) - </w:t>
            </w:r>
          </w:p>
          <w:p>
            <w:pPr>
              <w:pStyle w:val="Normal"/>
              <w:widowControl w:val="false"/>
              <w:spacing w:lineRule="auto" w:line="240" w:before="0" w:after="0"/>
              <w:jc w:val="left"/>
              <w:rPr>
                <w:b/>
                <w:b/>
                <w:bCs/>
                <w:kern w:val="0"/>
                <w:sz w:val="24"/>
                <w:szCs w:val="24"/>
                <w:lang w:val="it-IT" w:bidi="ar-SA"/>
              </w:rPr>
            </w:pPr>
            <w:r>
              <w:rPr>
                <w:rFonts w:eastAsia="Times New Roman" w:cs="" w:asciiTheme="majorBidi" w:cstheme="majorBidi" w:hAnsiTheme="majorBidi"/>
                <w:b/>
                <w:bCs/>
                <w:kern w:val="0"/>
                <w:sz w:val="24"/>
                <w:szCs w:val="24"/>
                <w:lang w:val="it-IT" w:eastAsia="it-IT" w:bidi="ar-SA"/>
              </w:rPr>
              <w:t>Via Sant’Antonio, 1</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N.   5</w:t>
            </w:r>
          </w:p>
          <w:p>
            <w:pPr>
              <w:pStyle w:val="Contenutotabella"/>
              <w:widowControl w:val="false"/>
              <w:bidi w:val="0"/>
              <w:jc w:val="center"/>
              <w:rPr>
                <w:b/>
                <w:b/>
                <w:bCs/>
              </w:rPr>
            </w:pPr>
            <w:r>
              <w:rPr>
                <w:b/>
                <w:bCs/>
              </w:rPr>
              <w:t>SENZA VITTO NÈ ALLOGGIO</w:t>
            </w:r>
          </w:p>
        </w:tc>
      </w:tr>
      <w:tr>
        <w:trPr/>
        <w:tc>
          <w:tcPr>
            <w:tcW w:w="5846" w:type="dxa"/>
            <w:tcBorders>
              <w:left w:val="single" w:sz="4" w:space="0" w:color="000000"/>
              <w:bottom w:val="single" w:sz="4" w:space="0" w:color="000000"/>
            </w:tcBorders>
          </w:tcPr>
          <w:p>
            <w:pPr>
              <w:pStyle w:val="Normal"/>
              <w:widowControl w:val="false"/>
              <w:spacing w:lineRule="auto" w:line="240" w:before="0" w:after="0"/>
              <w:jc w:val="left"/>
              <w:rPr>
                <w:b/>
                <w:b/>
                <w:bCs/>
                <w:kern w:val="0"/>
                <w:sz w:val="24"/>
                <w:szCs w:val="24"/>
                <w:lang w:val="it-IT" w:bidi="ar-SA"/>
              </w:rPr>
            </w:pPr>
            <w:r>
              <w:rPr>
                <w:rFonts w:eastAsia="Times New Roman" w:cs="" w:asciiTheme="majorBidi" w:cstheme="majorBidi" w:hAnsiTheme="majorBidi"/>
                <w:b/>
                <w:bCs/>
                <w:kern w:val="0"/>
                <w:sz w:val="24"/>
                <w:szCs w:val="24"/>
                <w:lang w:val="it-IT" w:eastAsia="it-IT" w:bidi="ar-SA"/>
              </w:rPr>
              <w:t>Unione Italiana dei Ciechi e degli Ipovedenti ETS-APS Rappresentanza Zonale di VILLAFRANCA TIRRENA (ME) - Via don Luigi Sturzo, 3</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5 </w:t>
            </w:r>
          </w:p>
          <w:p>
            <w:pPr>
              <w:pStyle w:val="Contenutotabella"/>
              <w:widowControl w:val="false"/>
              <w:bidi w:val="0"/>
              <w:jc w:val="center"/>
              <w:rPr>
                <w:b/>
                <w:b/>
                <w:bCs/>
              </w:rPr>
            </w:pPr>
            <w:r>
              <w:rPr>
                <w:b/>
                <w:bCs/>
              </w:rPr>
              <w:t>SENZA VITTO NÈ ALLOGGIO</w:t>
            </w:r>
          </w:p>
        </w:tc>
      </w:tr>
      <w:tr>
        <w:trPr/>
        <w:tc>
          <w:tcPr>
            <w:tcW w:w="5846" w:type="dxa"/>
            <w:tcBorders>
              <w:left w:val="single" w:sz="4" w:space="0" w:color="000000"/>
              <w:bottom w:val="single" w:sz="4" w:space="0" w:color="000000"/>
            </w:tcBorders>
          </w:tcPr>
          <w:p>
            <w:pPr>
              <w:pStyle w:val="Normal"/>
              <w:widowControl w:val="false"/>
              <w:spacing w:lineRule="auto" w:line="240" w:before="0" w:after="0"/>
              <w:jc w:val="left"/>
              <w:rPr>
                <w:b/>
                <w:b/>
                <w:bCs/>
              </w:rPr>
            </w:pPr>
            <w:r>
              <w:rPr>
                <w:rFonts w:eastAsia="Times New Roman" w:cs="" w:asciiTheme="majorBidi" w:cstheme="majorBidi" w:hAnsiTheme="majorBidi"/>
                <w:b/>
                <w:bCs/>
                <w:lang w:eastAsia="it-IT"/>
              </w:rPr>
              <w:t>Unione Italiana dei Ciechi e degli Ipovedenti ETS-APS Rappresentanza Zonale di Milazzo</w:t>
            </w:r>
          </w:p>
          <w:p>
            <w:pPr>
              <w:pStyle w:val="Normal"/>
              <w:widowControl w:val="false"/>
              <w:spacing w:lineRule="auto" w:line="240" w:before="0" w:after="0"/>
              <w:jc w:val="left"/>
              <w:rPr>
                <w:b/>
                <w:b/>
                <w:bCs/>
              </w:rPr>
            </w:pPr>
            <w:r>
              <w:rPr>
                <w:rFonts w:eastAsia="Times New Roman" w:cs="" w:asciiTheme="majorBidi" w:cstheme="majorBidi" w:hAnsiTheme="majorBidi"/>
                <w:b/>
                <w:bCs/>
                <w:lang w:eastAsia="it-IT"/>
              </w:rPr>
              <w:t>via Francesco Crispi, 1</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1 </w:t>
            </w:r>
          </w:p>
          <w:p>
            <w:pPr>
              <w:pStyle w:val="Contenutotabella"/>
              <w:widowControl w:val="false"/>
              <w:bidi w:val="0"/>
              <w:jc w:val="center"/>
              <w:rPr>
                <w:b/>
                <w:b/>
                <w:bCs/>
              </w:rPr>
            </w:pPr>
            <w:r>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ListParagraph"/>
        <w:widowControl w:val="false"/>
        <w:tabs>
          <w:tab w:val="clear" w:pos="720"/>
          <w:tab w:val="left" w:pos="562" w:leader="none"/>
        </w:tabs>
        <w:spacing w:lineRule="auto" w:line="240" w:before="0" w:after="0"/>
        <w:ind w:left="709" w:hanging="283"/>
        <w:contextualSpacing w:val="false"/>
        <w:rPr>
          <w:sz w:val="20"/>
          <w:szCs w:val="20"/>
        </w:rPr>
      </w:pPr>
      <w:r>
        <w:rPr>
          <w:rFonts w:eastAsia="Batang" w:cs="" w:asciiTheme="minorHAnsi" w:cstheme="minorHAnsi" w:hAnsiTheme="minorHAnsi"/>
          <w:b/>
          <w:bCs/>
          <w:i/>
          <w:iCs/>
          <w:sz w:val="20"/>
          <w:szCs w:val="20"/>
        </w:rPr>
        <w:t>(*)</w:t>
      </w:r>
      <w:r>
        <w:rPr>
          <w:rFonts w:eastAsia="Batang" w:cs="" w:asciiTheme="minorHAnsi" w:cstheme="minorHAnsi" w:hAnsiTheme="minorHAnsi"/>
          <w:bCs/>
          <w:i/>
          <w:iCs/>
          <w:sz w:val="20"/>
          <w:szCs w:val="20"/>
        </w:rPr>
        <w:t xml:space="preserve"> La flessibilità oraria richiesta avverrà nel rispetto delle disposizioni di cui al</w:t>
      </w:r>
      <w:r>
        <w:rPr>
          <w:rFonts w:eastAsia="Batang" w:cs="" w:asciiTheme="minorHAnsi" w:cstheme="minorHAnsi" w:hAnsiTheme="minorHAnsi"/>
          <w:b/>
          <w:bCs/>
          <w:i/>
          <w:iCs/>
          <w:sz w:val="20"/>
          <w:szCs w:val="20"/>
        </w:rPr>
        <w:t xml:space="preserve"> “Prontuario concernente la disciplina dei rapporti tra enti e operatori  volontari del servizio civile universale”</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suppressAutoHyphens w:val="true"/>
        <w:bidi w:val="0"/>
        <w:spacing w:before="0" w:after="200"/>
        <w:ind w:left="0" w:right="0" w:hanging="0"/>
        <w:contextualSpacing/>
        <w:jc w:val="left"/>
        <w:rPr>
          <w:i/>
          <w:i/>
          <w:iCs/>
        </w:rPr>
      </w:pPr>
      <w:r>
        <w:rPr>
          <w:i/>
          <w:iCs/>
          <w:sz w:val="22"/>
          <w:szCs w:val="22"/>
        </w:rPr>
        <w:t>- Messina – Unione Italiana dei Ciechi e degli Ipovedenti – Sezione Territoriale di Messina</w:t>
      </w:r>
    </w:p>
    <w:p>
      <w:pPr>
        <w:pStyle w:val="ListParagraph"/>
        <w:widowControl/>
        <w:suppressAutoHyphens w:val="true"/>
        <w:bidi w:val="0"/>
        <w:spacing w:before="0" w:after="200"/>
        <w:ind w:left="0" w:right="0" w:hanging="0"/>
        <w:contextualSpacing/>
        <w:jc w:val="left"/>
        <w:rPr>
          <w:i/>
          <w:i/>
          <w:iCs/>
        </w:rPr>
      </w:pPr>
      <w:r>
        <w:rPr>
          <w:i/>
          <w:iCs/>
          <w:sz w:val="22"/>
          <w:szCs w:val="22"/>
        </w:rPr>
        <w:t xml:space="preserve">Via Santa Cecilia, 98 CAP 98123 </w:t>
      </w:r>
    </w:p>
    <w:p>
      <w:pPr>
        <w:pStyle w:val="Normal"/>
        <w:jc w:val="both"/>
        <w:rPr>
          <w:i/>
          <w:i/>
          <w:iCs/>
        </w:rPr>
      </w:pPr>
      <w:r>
        <w:rPr>
          <w:i/>
          <w:iCs/>
          <w:sz w:val="22"/>
          <w:szCs w:val="22"/>
        </w:rPr>
        <w:t>- ROMA – Presidenza Nazionale Unione Italiana dei Ciechi e degli Ipovedenti</w:t>
      </w:r>
    </w:p>
    <w:p>
      <w:pPr>
        <w:pStyle w:val="Normal"/>
        <w:jc w:val="both"/>
        <w:rPr>
          <w:i/>
          <w:i/>
          <w:iCs/>
        </w:rPr>
      </w:pPr>
      <w:r>
        <w:rPr>
          <w:i/>
          <w:iCs/>
          <w:sz w:val="22"/>
          <w:szCs w:val="22"/>
        </w:rPr>
        <w:t>Via Borgognona n. 38 Cap 00187 per la formazione svolta a distanza (FAD)</w:t>
      </w:r>
    </w:p>
    <w:p>
      <w:pPr>
        <w:pStyle w:val="Normal"/>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center"/>
        <w:rPr>
          <w:b/>
          <w:b/>
          <w:bCs/>
          <w:sz w:val="26"/>
          <w:szCs w:val="26"/>
        </w:rPr>
      </w:pPr>
      <w:r>
        <w:rPr>
          <w:b/>
          <w:bCs/>
          <w:sz w:val="26"/>
          <w:szCs w:val="26"/>
        </w:rPr>
        <w:t>IL PROGETTO NON PREVEDE MISURE AGGIUNTIVE</w:t>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me@uici.it" TargetMode="External"/><Relationship Id="rId4" Type="http://schemas.openxmlformats.org/officeDocument/2006/relationships/hyperlink" Target="mailto:info@pec.uiciechimessina.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224</TotalTime>
  <Application>LibreOffice/7.4.2.3$Windows_X86_64 LibreOffice_project/382eef1f22670f7f4118c8c2dd222ec7ad009daf</Application>
  <AppVersion>15.0000</AppVersion>
  <Pages>7</Pages>
  <Words>2512</Words>
  <Characters>14945</Characters>
  <CharactersWithSpaces>17238</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2025-02-05T17:24:19Z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