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ListParagraph"/>
        <w:tabs>
          <w:tab w:val="clear" w:pos="720"/>
          <w:tab w:val="left" w:pos="744" w:leader="none"/>
        </w:tabs>
        <w:spacing w:before="0" w:after="240"/>
        <w:contextualSpacing/>
        <w:rPr>
          <w:rFonts w:eastAsia="Times New Roman"/>
          <w:szCs w:val="24"/>
        </w:rPr>
      </w:pPr>
      <w:r>
        <w:rPr>
          <w:rFonts w:eastAsia="Times New Roman"/>
          <w:szCs w:val="24"/>
        </w:rPr>
        <w:t>AUTONOMIA COME LIBERTA’ XVIII, L. 289 – PERUGIA</w:t>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u w:val="none"/>
        </w:rPr>
      </w:pPr>
      <w:r>
        <w:rPr>
          <w:szCs w:val="24"/>
          <w:u w:val="none"/>
        </w:rPr>
        <w:t xml:space="preserve"> </w:t>
      </w:r>
      <w:r>
        <w:rPr>
          <w:szCs w:val="24"/>
          <w:u w:val="none"/>
        </w:rPr>
        <w:t>Il progetto si prefigge di risolvere i problemi di accompagnamento dei ciechi civili (di cui agli artt. 2 e 3 della L. 138/2001) che rientrano in una delle ipotesi di legge previste dall’art. 40 L. 289/2002:</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szCs w:val="24"/>
        </w:rPr>
        <w:t xml:space="preserve">- ciechi civili che svolgono attività lavorativa; </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szCs w:val="24"/>
        </w:rPr>
        <w:t xml:space="preserve">- ciechi civili che svolgono attività sociale; </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szCs w:val="24"/>
        </w:rPr>
        <w:t>- ciechi civili che abbiano bisogno di accompagnamento per motivi sanitari;</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u w:val="single"/>
        </w:rPr>
      </w:pPr>
      <w:r>
        <w:rPr>
          <w:szCs w:val="24"/>
          <w:u w:val="single"/>
        </w:rPr>
        <w:t>All’attività di accompagnamento degli operatori volontari sussistono come attività correlate:</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szCs w:val="24"/>
        </w:rPr>
        <w:t xml:space="preserve">- </w:t>
      </w:r>
      <w:r>
        <w:rPr>
          <w:szCs w:val="24"/>
          <w:u w:val="single"/>
        </w:rPr>
        <w:t>l’assistenza generica</w:t>
      </w:r>
      <w:r>
        <w:rPr>
          <w:szCs w:val="24"/>
        </w:rPr>
        <w:t xml:space="preserve"> (es. lettura, corrispondenza, registrazioni su audio cassette e CD di articoli, quotidiani, riviste, dispense, etc.) </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szCs w:val="24"/>
        </w:rPr>
        <w:t xml:space="preserve">- </w:t>
      </w:r>
      <w:r>
        <w:rPr>
          <w:szCs w:val="24"/>
          <w:u w:val="single"/>
        </w:rPr>
        <w:t>supporto per attività varie</w:t>
      </w:r>
      <w:r>
        <w:rPr>
          <w:szCs w:val="24"/>
        </w:rPr>
        <w:t xml:space="preserve"> (eventi sociali, sportivi, ricreativi, culturali etc.) </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szCs w:val="24"/>
        </w:rPr>
        <w:t xml:space="preserve">- </w:t>
      </w:r>
      <w:r>
        <w:rPr>
          <w:szCs w:val="24"/>
          <w:u w:val="single"/>
        </w:rPr>
        <w:t>accompagnamenti per finalità diverse da quelle specifiche di cui all’art. 40</w:t>
      </w:r>
      <w:r>
        <w:rPr>
          <w:szCs w:val="24"/>
        </w:rPr>
        <w:t>: visite mediche, specialistiche o esami clinici, utilizzando i mezzi pubblici o auto di proprietà  dell’ente ovvero del richiedente messe a disposizione dell’ente, in nessun caso auto di proprietà del volontario.</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szCs w:val="24"/>
        </w:rPr>
        <w:t>I volontari potranno essere altresì impiegati per un periodo non superiore ai 30 gg. previa tempestiva comunicazione all’Ufficio Nazionale al fine di dare attuazione ad attività specifiche connesse alla realizzazione del progetto ( es. soggiorni estivi, mostre itineranti, eventi culturali, momenti formativi supplementari a quanto previsto dal progetto) presso località extra regionali in conformità ai combinati disposti di cui ai punti 6.2 e 11.6 del DPCM 14 Gennaio 2019 “Prontuario concernente la disciplina dei rapporti fra enti e volontari del servizio civile nazionale”.  L’area di riferimento del progetto è rappresentata dall’area provinciale di Perugia ed esattamente dalle zone di residenza dei ciechi civili richiedenti il servizio civile di accompagnamento, nel caso specifico si tratta di:</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szCs w:val="24"/>
        </w:rPr>
        <w:t>N. 5 Perugia</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szCs w:val="24"/>
        </w:rPr>
        <w:t>N. 2 Bastia Umbra</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rPr>
      </w:pPr>
      <w:r>
        <w:rPr>
          <w:b/>
          <w:szCs w:val="24"/>
        </w:rPr>
        <w:t>Ai volontari sono assegnati orari di servizio  tali da corrispondere alla quantità e qualità delle richieste. Il servizio si esplica dal lunedì al sabato</w:t>
      </w:r>
      <w:r>
        <w:rPr>
          <w:szCs w:val="24"/>
        </w:rPr>
        <w:t>.</w:t>
      </w:r>
    </w:p>
    <w:p>
      <w:pPr>
        <w:pStyle w:val="Normal"/>
        <w:pBdr>
          <w:top w:val="single" w:sz="4" w:space="1" w:color="000000"/>
          <w:left w:val="single" w:sz="4" w:space="4" w:color="000000"/>
          <w:bottom w:val="single" w:sz="4" w:space="1" w:color="000000"/>
          <w:right w:val="single" w:sz="4" w:space="4" w:color="000000"/>
        </w:pBdr>
        <w:spacing w:before="0" w:after="0"/>
        <w:ind w:left="851" w:hanging="0"/>
        <w:jc w:val="both"/>
        <w:rPr>
          <w:szCs w:val="24"/>
          <w:u w:val="single"/>
        </w:rPr>
      </w:pPr>
      <w:r>
        <w:rPr>
          <w:szCs w:val="24"/>
          <w:u w:val="single"/>
        </w:rPr>
        <w:t>Si annotano determinate specifiche a completamento della descrizione delle attività che i volontari possono essere chiamati a svolgere, per il  ruolo istituzionale di alcuni dei  richiedenti sotto indicati e per le attività che sono chiamati a svolgere: compiti istituzionali di rappresentanza della associazione, partecipazione a riunioni di organi statutari , convegni nazionali , etc.</w:t>
      </w:r>
    </w:p>
    <w:p>
      <w:pPr>
        <w:pStyle w:val="Normal"/>
        <w:tabs>
          <w:tab w:val="clear" w:pos="720"/>
          <w:tab w:val="left" w:pos="744" w:leader="none"/>
        </w:tabs>
        <w:spacing w:before="0" w:after="0"/>
        <w:ind w:left="1134" w:hanging="708"/>
        <w:jc w:val="both"/>
        <w:rPr/>
      </w:pPr>
      <w:r>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pBdr>
          <w:top w:val="single" w:sz="4" w:space="1" w:color="000000"/>
          <w:left w:val="single" w:sz="4" w:space="4" w:color="000000"/>
          <w:bottom w:val="single" w:sz="4" w:space="1" w:color="000000"/>
          <w:right w:val="single" w:sz="4" w:space="4" w:color="000000"/>
        </w:pBdr>
        <w:ind w:left="851" w:hanging="0"/>
        <w:jc w:val="both"/>
        <w:rPr>
          <w:szCs w:val="24"/>
        </w:rPr>
      </w:pPr>
      <w:r>
        <w:rPr>
          <w:szCs w:val="24"/>
        </w:rPr>
        <w:t>Al fine di sostenere i volontari nello svolgimento delle loro funzioni all’interno delle finalità del progetto, la Sezione Territoriale UICI attraverso le figure dell’OLP come pure delle figure istituzionali e del personale dipendente che viene a contatto con i volontari, intende supportare tale capitale umano, ponendo particolare attenzione alle necessità dei volontari nello svolgimento del loro compito, attuando sia attività di monitoraggio che attività di confronto sia individuali che di gruppo.</w:t>
      </w:r>
    </w:p>
    <w:p>
      <w:pPr>
        <w:pStyle w:val="Normal"/>
        <w:pBdr>
          <w:top w:val="single" w:sz="4" w:space="1" w:color="000000"/>
          <w:left w:val="single" w:sz="4" w:space="4" w:color="000000"/>
          <w:bottom w:val="single" w:sz="4" w:space="1" w:color="000000"/>
          <w:right w:val="single" w:sz="4" w:space="4" w:color="000000"/>
        </w:pBdr>
        <w:ind w:left="851" w:hanging="0"/>
        <w:rPr>
          <w:szCs w:val="24"/>
        </w:rPr>
      </w:pPr>
      <w:r>
        <w:rPr>
          <w:szCs w:val="24"/>
        </w:rPr>
        <w:t xml:space="preserve">Gli obiettivi sono quelli di: </w:t>
      </w:r>
    </w:p>
    <w:p>
      <w:pPr>
        <w:pStyle w:val="ListParagraph"/>
        <w:numPr>
          <w:ilvl w:val="0"/>
          <w:numId w:val="5"/>
        </w:numPr>
        <w:pBdr>
          <w:top w:val="single" w:sz="4" w:space="1" w:color="000000"/>
          <w:left w:val="single" w:sz="4" w:space="4" w:color="000000"/>
          <w:bottom w:val="single" w:sz="4" w:space="1" w:color="000000"/>
          <w:right w:val="single" w:sz="4" w:space="4" w:color="000000"/>
        </w:pBdr>
        <w:suppressAutoHyphens w:val="false"/>
        <w:rPr>
          <w:szCs w:val="24"/>
        </w:rPr>
      </w:pPr>
      <w:r>
        <w:rPr>
          <w:szCs w:val="24"/>
        </w:rPr>
        <w:t xml:space="preserve"> </w:t>
      </w:r>
      <w:r>
        <w:rPr>
          <w:szCs w:val="24"/>
        </w:rPr>
        <w:t>assicurarsi sulla effettiva comprensione e portata delle finalità del progetto da parte dei volontari e delle relative modalità di raggiungimento delle stesse,</w:t>
      </w:r>
    </w:p>
    <w:p>
      <w:pPr>
        <w:pStyle w:val="ListParagraph"/>
        <w:numPr>
          <w:ilvl w:val="0"/>
          <w:numId w:val="5"/>
        </w:numPr>
        <w:pBdr>
          <w:top w:val="single" w:sz="4" w:space="1" w:color="000000"/>
          <w:left w:val="single" w:sz="4" w:space="4" w:color="000000"/>
          <w:bottom w:val="single" w:sz="4" w:space="1" w:color="000000"/>
          <w:right w:val="single" w:sz="4" w:space="4" w:color="000000"/>
        </w:pBdr>
        <w:suppressAutoHyphens w:val="false"/>
        <w:rPr>
          <w:szCs w:val="24"/>
        </w:rPr>
      </w:pPr>
      <w:r>
        <w:rPr>
          <w:szCs w:val="24"/>
        </w:rPr>
        <w:t xml:space="preserve">verificare il coinvolgimento del volontario rendendolo partecipe alle problematiche connesse alla cecità </w:t>
      </w:r>
    </w:p>
    <w:p>
      <w:pPr>
        <w:pStyle w:val="ListParagraph"/>
        <w:numPr>
          <w:ilvl w:val="0"/>
          <w:numId w:val="5"/>
        </w:numPr>
        <w:pBdr>
          <w:top w:val="single" w:sz="4" w:space="1" w:color="000000"/>
          <w:left w:val="single" w:sz="4" w:space="4" w:color="000000"/>
          <w:bottom w:val="single" w:sz="4" w:space="1" w:color="000000"/>
          <w:right w:val="single" w:sz="4" w:space="4" w:color="000000"/>
        </w:pBdr>
        <w:suppressAutoHyphens w:val="false"/>
        <w:rPr>
          <w:szCs w:val="24"/>
        </w:rPr>
      </w:pPr>
      <w:r>
        <w:rPr>
          <w:szCs w:val="24"/>
        </w:rPr>
        <w:t>verificare lo stato di avanzamento dello stesso individuando i punti di forza e quelli di debolezza che emergono durante lo svolgimento del progetto</w:t>
      </w:r>
    </w:p>
    <w:p>
      <w:pPr>
        <w:pStyle w:val="ListParagraph"/>
        <w:numPr>
          <w:ilvl w:val="0"/>
          <w:numId w:val="5"/>
        </w:numPr>
        <w:pBdr>
          <w:top w:val="single" w:sz="4" w:space="1" w:color="000000"/>
          <w:left w:val="single" w:sz="4" w:space="4" w:color="000000"/>
          <w:bottom w:val="single" w:sz="4" w:space="1" w:color="000000"/>
          <w:right w:val="single" w:sz="4" w:space="4" w:color="000000"/>
        </w:pBdr>
        <w:tabs>
          <w:tab w:val="clear" w:pos="720"/>
          <w:tab w:val="left" w:pos="1173" w:leader="none"/>
        </w:tabs>
        <w:suppressAutoHyphens w:val="false"/>
        <w:rPr>
          <w:szCs w:val="24"/>
        </w:rPr>
      </w:pPr>
      <w:r>
        <w:rPr/>
        <w:t xml:space="preserve">rappresentare un punto di ascolto e di riferimento </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Sezione Territoriale di Perugia.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Montepulciano n. 14/B  cap 06129 Perugia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Tel.: 075 5004681  e-mail: </w:t>
            </w:r>
            <w:hyperlink r:id="rId3">
              <w:r>
                <w:rPr>
                  <w:rStyle w:val="CollegamentoInternet"/>
                </w:rPr>
                <w:t>uicpg@uici.it</w:t>
              </w:r>
            </w:hyperlink>
            <w:r>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pec: </w:t>
            </w:r>
            <w:hyperlink r:id="rId4">
              <w:r>
                <w:rPr>
                  <w:rStyle w:val="CollegamentoInternet"/>
                </w:rPr>
                <w:t>uiciperugia@pec.it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7</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6"/>
              <w:gridCol w:w="6482"/>
              <w:gridCol w:w="1710"/>
            </w:tblGrid>
            <w:tr>
              <w:trPr/>
              <w:tc>
                <w:tcPr>
                  <w:tcW w:w="2156"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2"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6"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6"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2"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2"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widowControl/>
        <w:numPr>
          <w:ilvl w:val="0"/>
          <w:numId w:val="0"/>
        </w:numPr>
        <w:suppressAutoHyphens w:val="true"/>
        <w:bidi w:val="0"/>
        <w:spacing w:lineRule="auto" w:line="276" w:before="0" w:after="240"/>
        <w:ind w:left="0" w:right="0" w:hanging="0"/>
        <w:contextualSpacing/>
        <w:jc w:val="left"/>
        <w:rPr>
          <w:b w:val="false"/>
          <w:b w:val="false"/>
          <w:bCs w:val="false"/>
          <w:i w:val="false"/>
          <w:i w:val="false"/>
          <w:iCs w:val="false"/>
        </w:rPr>
      </w:pPr>
      <w:r>
        <w:rPr>
          <w:b w:val="false"/>
          <w:bCs w:val="false"/>
          <w:i w:val="false"/>
          <w:iCs w:val="false"/>
          <w:sz w:val="22"/>
          <w:szCs w:val="22"/>
        </w:rPr>
        <w:t xml:space="preserve">- PERUGIA – Unione Italiana Ciechi Sezione Territoriale di Perugia </w:t>
      </w:r>
    </w:p>
    <w:p>
      <w:pPr>
        <w:pStyle w:val="ListParagraph"/>
        <w:widowControl/>
        <w:numPr>
          <w:ilvl w:val="0"/>
          <w:numId w:val="0"/>
        </w:numPr>
        <w:suppressAutoHyphens w:val="true"/>
        <w:bidi w:val="0"/>
        <w:spacing w:lineRule="auto" w:line="276" w:before="0" w:after="240"/>
        <w:ind w:left="0" w:right="0" w:hanging="0"/>
        <w:contextualSpacing/>
        <w:jc w:val="left"/>
        <w:rPr>
          <w:b w:val="false"/>
          <w:b w:val="false"/>
          <w:bCs w:val="false"/>
          <w:i w:val="false"/>
          <w:i w:val="false"/>
          <w:iCs w:val="false"/>
        </w:rPr>
      </w:pPr>
      <w:r>
        <w:rPr>
          <w:b w:val="false"/>
          <w:bCs w:val="false"/>
          <w:i w:val="false"/>
          <w:iCs w:val="false"/>
          <w:sz w:val="22"/>
          <w:szCs w:val="22"/>
        </w:rPr>
        <w:t xml:space="preserve"> </w:t>
      </w:r>
      <w:r>
        <w:rPr>
          <w:b w:val="false"/>
          <w:bCs w:val="false"/>
          <w:i w:val="false"/>
          <w:iCs w:val="false"/>
          <w:sz w:val="22"/>
          <w:szCs w:val="22"/>
        </w:rPr>
        <w:t>Via Montepulciano 14/B  CAP 06129 PERUGIA</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peri la formazione svolta a distanza (FAD)</w:t>
      </w:r>
    </w:p>
    <w:p>
      <w:pPr>
        <w:pStyle w:val="ListParagraph"/>
        <w:tabs>
          <w:tab w:val="clear" w:pos="720"/>
          <w:tab w:val="left" w:pos="744" w:leader="none"/>
        </w:tabs>
        <w:spacing w:before="0" w:after="240"/>
        <w:ind w:left="782" w:hanging="357"/>
        <w:contextualSpacing/>
        <w:rPr>
          <w:i/>
          <w:i/>
          <w:sz w:val="12"/>
          <w:szCs w:val="12"/>
        </w:rPr>
      </w:pPr>
      <w:r>
        <w:rPr>
          <w:i/>
          <w:sz w:val="12"/>
          <w:szCs w:val="1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numFmt w:val="bullet"/>
      <w:lvlText w:val="-"/>
      <w:lvlJc w:val="left"/>
      <w:pPr>
        <w:tabs>
          <w:tab w:val="num" w:pos="0"/>
        </w:tabs>
        <w:ind w:left="1211" w:hanging="360"/>
      </w:pPr>
      <w:rPr>
        <w:rFonts w:ascii="Calibri" w:hAnsi="Calibri" w:cs="Calibri"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pg@uici.it" TargetMode="External"/><Relationship Id="rId4" Type="http://schemas.openxmlformats.org/officeDocument/2006/relationships/hyperlink" Target="mailto:uiciperugia@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207</TotalTime>
  <Application>LibreOffice/7.4.2.3$Windows_X86_64 LibreOffice_project/382eef1f22670f7f4118c8c2dd222ec7ad009daf</Application>
  <AppVersion>15.0000</AppVersion>
  <Pages>7</Pages>
  <Words>2604</Words>
  <Characters>15360</Characters>
  <CharactersWithSpaces>17745</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2023-11-12T18:01:36Z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