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tabs>
          <w:tab w:val="clear" w:pos="720"/>
          <w:tab w:val="left" w:pos="744" w:leader="none"/>
        </w:tabs>
        <w:spacing w:before="0" w:after="240"/>
        <w:ind w:left="425" w:hanging="0"/>
        <w:jc w:val="both"/>
        <w:rPr>
          <w:rFonts w:eastAsia="Times New Roman"/>
          <w:szCs w:val="24"/>
        </w:rPr>
      </w:pPr>
      <w:r>
        <w:rPr>
          <w:rFonts w:eastAsia="Times New Roman"/>
          <w:i/>
          <w:szCs w:val="24"/>
        </w:rPr>
        <w:t>CAMMINANDO INSIEME ART.40- PESARO URBINO 2023</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ListParagraph"/>
        <w:widowControl/>
        <w:tabs>
          <w:tab w:val="clear" w:pos="720"/>
          <w:tab w:val="left" w:pos="744" w:leader="none"/>
        </w:tabs>
        <w:suppressAutoHyphens w:val="true"/>
        <w:bidi w:val="0"/>
        <w:spacing w:before="0" w:after="240"/>
        <w:ind w:left="57" w:right="0" w:hanging="0"/>
        <w:contextualSpacing/>
        <w:jc w:val="left"/>
        <w:rPr/>
      </w:pPr>
      <w:r>
        <w:rPr/>
        <w:t>I volontari dovranno svolgere servizio di accompagnamento sul luogo di lavoro assistenza in luoghi pubblici e privati e nelle azioni quotidiane del non vedente. I volontari entreranno nelle case degli utenti per aiutarli nella lettura di documenti e posta, assistenza per la spesa e compere varie , accompagnamento a visite mediche e diagnostiche, senza tralasciare anche momenti di svago e partecipazione ad eventi culturali e di spettacolo. Il servizio si esplica dal Lunedì al Venerdì e, eccezionalmente, previo assenso dei volontari, anche il sabato e la domenica e in ore serali per assemblee, convegni, escursioni ed altre attività culturali e ricreative di interesse del richiedente.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57" w:right="0" w:hanging="57"/>
        <w:jc w:val="left"/>
        <w:rPr/>
      </w:pPr>
      <w:r>
        <w:rPr/>
        <w:t>Saranno organizzati momenti di confronto e crescita tra i volontari del progetto e l’Olp ed incontri tra gli Olp e i volontari con la partecipazione degli assistiti.</w:t>
      </w:r>
    </w:p>
    <w:p>
      <w:pPr>
        <w:pStyle w:val="Normal"/>
        <w:widowControl/>
        <w:tabs>
          <w:tab w:val="clear" w:pos="720"/>
          <w:tab w:val="left" w:pos="744" w:leader="none"/>
        </w:tabs>
        <w:suppressAutoHyphens w:val="true"/>
        <w:bidi w:val="0"/>
        <w:spacing w:lineRule="auto" w:line="276" w:before="0" w:after="0"/>
        <w:ind w:left="57" w:right="0" w:hanging="57"/>
        <w:jc w:val="left"/>
        <w:rPr/>
      </w:pPr>
      <w:r>
        <w:rPr/>
      </w:r>
    </w:p>
    <w:tbl>
      <w:tblPr>
        <w:tblW w:w="5000" w:type="pct"/>
        <w:jc w:val="left"/>
        <w:tblInd w:w="-5" w:type="dxa"/>
        <w:tblLayout w:type="fixed"/>
        <w:tblCellMar>
          <w:top w:w="55" w:type="dxa"/>
          <w:left w:w="55" w:type="dxa"/>
          <w:bottom w:w="55" w:type="dxa"/>
          <w:right w:w="55" w:type="dxa"/>
        </w:tblCellMar>
      </w:tblPr>
      <w:tblGrid>
        <w:gridCol w:w="6019"/>
        <w:gridCol w:w="3618"/>
      </w:tblGrid>
      <w:tr>
        <w:trPr/>
        <w:tc>
          <w:tcPr>
            <w:tcW w:w="6019"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618"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6019"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Sezione territoriale di Pesaro Urbino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Vincenzo Rossi n. 75 cap 61122 città Pesaro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Tel.: 0721-416171 e-mail: uicps@uici.it pec: uicipu@pec.it</w:t>
            </w:r>
          </w:p>
        </w:tc>
        <w:tc>
          <w:tcPr>
            <w:tcW w:w="3618"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8</w:t>
            </w:r>
          </w:p>
          <w:p>
            <w:pPr>
              <w:pStyle w:val="Contenutotabella"/>
              <w:widowControl w:val="false"/>
              <w:bidi w:val="0"/>
              <w:jc w:val="center"/>
              <w:rPr>
                <w:b/>
                <w:b/>
                <w:bCs/>
                <w:sz w:val="26"/>
                <w:szCs w:val="26"/>
              </w:rPr>
            </w:pPr>
            <w:r>
              <w:rPr>
                <w:b/>
                <w:bCs/>
                <w:sz w:val="26"/>
                <w:szCs w:val="26"/>
              </w:rPr>
              <w:t>SENZA VITTO NÈ ALLOGGIO</w:t>
            </w:r>
          </w:p>
        </w:tc>
      </w:tr>
      <w:tr>
        <w:trPr/>
        <w:tc>
          <w:tcPr>
            <w:tcW w:w="6019" w:type="dxa"/>
            <w:tcBorders>
              <w:left w:val="single" w:sz="4" w:space="0" w:color="000000"/>
              <w:bottom w:val="single" w:sz="4" w:space="0" w:color="000000"/>
            </w:tcBorders>
          </w:tcPr>
          <w:p>
            <w:pPr>
              <w:pStyle w:val="Normal"/>
              <w:widowControl w:val="false"/>
              <w:suppressAutoHyphens w:val="true"/>
              <w:spacing w:lineRule="auto" w:line="240" w:before="0" w:after="0"/>
              <w:jc w:val="left"/>
              <w:rPr>
                <w:rFonts w:ascii="Times New Roman" w:hAnsi="Times New Roman"/>
              </w:rPr>
            </w:pPr>
            <w:r>
              <w:rPr>
                <w:rFonts w:eastAsia="Times New Roman" w:cs="" w:ascii="Times New Roman" w:hAnsi="Times New Roman" w:cstheme="majorBidi"/>
                <w:b/>
                <w:bCs/>
                <w:kern w:val="0"/>
                <w:sz w:val="24"/>
                <w:szCs w:val="24"/>
                <w:lang w:val="it-IT" w:eastAsia="it-IT" w:bidi="ar-SA"/>
              </w:rPr>
              <w:t>Unione Italiana dei Ciechi e degli Ipovedenti ETS-APS</w:t>
            </w:r>
          </w:p>
          <w:p>
            <w:pPr>
              <w:pStyle w:val="Normal"/>
              <w:widowControl w:val="false"/>
              <w:suppressAutoHyphens w:val="true"/>
              <w:spacing w:lineRule="auto" w:line="240" w:before="0" w:after="0"/>
              <w:jc w:val="left"/>
              <w:rPr>
                <w:rFonts w:ascii="Times New Roman" w:hAnsi="Times New Roman"/>
              </w:rPr>
            </w:pPr>
            <w:r>
              <w:rPr>
                <w:rFonts w:eastAsia="Times New Roman" w:cs="" w:ascii="Times New Roman" w:hAnsi="Times New Roman" w:cstheme="majorBidi"/>
                <w:b/>
                <w:bCs/>
                <w:kern w:val="0"/>
                <w:sz w:val="24"/>
                <w:szCs w:val="24"/>
                <w:lang w:val="it-IT" w:eastAsia="it-IT" w:bidi="ar-SA"/>
              </w:rPr>
              <w:t>Sede Distaccata di FANO (PU) - Via Alavolini, 11</w:t>
            </w:r>
          </w:p>
        </w:tc>
        <w:tc>
          <w:tcPr>
            <w:tcW w:w="3618"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4</w:t>
            </w:r>
          </w:p>
          <w:p>
            <w:pPr>
              <w:pStyle w:val="Contenutotabella"/>
              <w:widowControl w:val="false"/>
              <w:bidi w:val="0"/>
              <w:jc w:val="center"/>
              <w:rPr>
                <w:b/>
                <w:b/>
                <w:bCs/>
                <w:sz w:val="26"/>
                <w:szCs w:val="26"/>
              </w:rPr>
            </w:pPr>
            <w:r>
              <w:rPr>
                <w:b/>
                <w:bCs/>
                <w:sz w:val="26"/>
                <w:szCs w:val="26"/>
              </w:rPr>
              <w:t>SENZA VITTO NÈ ALLOGGIO</w:t>
            </w:r>
          </w:p>
        </w:tc>
      </w:tr>
      <w:tr>
        <w:trPr/>
        <w:tc>
          <w:tcPr>
            <w:tcW w:w="6019" w:type="dxa"/>
            <w:tcBorders>
              <w:left w:val="single" w:sz="4" w:space="0" w:color="000000"/>
              <w:bottom w:val="single" w:sz="4" w:space="0" w:color="000000"/>
            </w:tcBorders>
          </w:tcPr>
          <w:p>
            <w:pPr>
              <w:pStyle w:val="Contenutotabella"/>
              <w:widowControl w:val="false"/>
              <w:jc w:val="left"/>
              <w:rPr/>
            </w:pPr>
            <w:r>
              <w:rPr>
                <w:rFonts w:eastAsia="Times New Roman" w:cs="" w:ascii="Times New Roman" w:hAnsi="Times New Roman" w:cstheme="majorBidi"/>
                <w:b/>
                <w:bCs/>
                <w:kern w:val="0"/>
                <w:sz w:val="24"/>
                <w:szCs w:val="24"/>
                <w:lang w:val="it-IT" w:eastAsia="it-IT" w:bidi="ar-SA"/>
              </w:rPr>
              <w:t>Unione Italiana dei Ciechi e degli Ipovedenti ETS-APS</w:t>
            </w:r>
          </w:p>
          <w:p>
            <w:pPr>
              <w:pStyle w:val="Contenutotabella"/>
              <w:widowControl w:val="false"/>
              <w:jc w:val="left"/>
              <w:rPr/>
            </w:pPr>
            <w:r>
              <w:rPr>
                <w:rFonts w:eastAsia="Times New Roman" w:cs="" w:ascii="Times New Roman" w:hAnsi="Times New Roman" w:cstheme="majorBidi"/>
                <w:b/>
                <w:bCs/>
                <w:kern w:val="0"/>
                <w:sz w:val="24"/>
                <w:szCs w:val="24"/>
                <w:lang w:val="it-IT" w:eastAsia="it-IT" w:bidi="ar-SA"/>
              </w:rPr>
              <w:t>Rappresentanza di Urbania (PU)</w:t>
            </w:r>
          </w:p>
          <w:p>
            <w:pPr>
              <w:pStyle w:val="Contenutotabella"/>
              <w:widowControl w:val="false"/>
              <w:jc w:val="left"/>
              <w:rPr>
                <w:b/>
                <w:b/>
                <w:bCs/>
              </w:rPr>
            </w:pPr>
            <w:r>
              <w:rPr>
                <w:b/>
                <w:bCs/>
              </w:rPr>
              <w:t>Corso Vittorio Emanuele presso Biblioteca Comunale 23</w:t>
            </w:r>
          </w:p>
        </w:tc>
        <w:tc>
          <w:tcPr>
            <w:tcW w:w="3618"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Times New Roman"/>
          <w:b w:val="false"/>
          <w:bCs w:val="false"/>
          <w:i/>
          <w:szCs w:val="24"/>
        </w:rPr>
        <w:t>UNIVERSITA’ DI URBINO</w:t>
      </w:r>
    </w:p>
    <w:p>
      <w:pPr>
        <w:pStyle w:val="Paragrafoelenco"/>
        <w:tabs>
          <w:tab w:val="clear" w:pos="720"/>
          <w:tab w:val="left" w:pos="640" w:leader="none"/>
        </w:tabs>
        <w:bidi w:val="0"/>
        <w:ind w:left="782" w:right="0" w:hanging="782"/>
        <w:jc w:val="left"/>
        <w:rPr>
          <w:rFonts w:eastAsia="Calibri"/>
          <w:b w:val="false"/>
          <w:b w:val="false"/>
          <w:bCs w:val="false"/>
          <w:i/>
          <w:i/>
          <w:sz w:val="12"/>
          <w:szCs w:val="12"/>
        </w:rPr>
      </w:pPr>
      <w:r>
        <w:rPr>
          <w:rFonts w:eastAsia="Calibri"/>
          <w:b w:val="false"/>
          <w:bCs w:val="false"/>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w:t>
      </w:r>
      <w:r>
        <w:rPr>
          <w:rFonts w:eastAsia="Times New Roman"/>
          <w:i/>
          <w:szCs w:val="24"/>
        </w:rPr>
        <w:t>UNIVERSITA’ DI URBINO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rPr>
          <w:b w:val="false"/>
          <w:b w:val="false"/>
          <w:bCs w:val="false"/>
          <w:i w:val="false"/>
          <w:i w:val="false"/>
          <w:iCs w:val="false"/>
        </w:rPr>
      </w:pPr>
      <w:r>
        <w:rPr>
          <w:b w:val="false"/>
          <w:bCs w:val="false"/>
          <w:i w:val="false"/>
          <w:iCs w:val="false"/>
          <w:sz w:val="22"/>
          <w:szCs w:val="22"/>
        </w:rPr>
        <w:t xml:space="preserve">UNIONE ITALIANA DEI CIECHI E DEGLI IPOVEDENTI -SEZIONE PESARO URBINO </w:t>
      </w:r>
    </w:p>
    <w:p>
      <w:pPr>
        <w:pStyle w:val="Normal"/>
        <w:rPr>
          <w:b w:val="false"/>
          <w:b w:val="false"/>
          <w:bCs w:val="false"/>
          <w:i w:val="false"/>
          <w:i w:val="false"/>
          <w:iCs w:val="false"/>
        </w:rPr>
      </w:pPr>
      <w:r>
        <w:rPr>
          <w:b w:val="false"/>
          <w:bCs w:val="false"/>
          <w:i w:val="false"/>
          <w:iCs w:val="false"/>
          <w:sz w:val="22"/>
          <w:szCs w:val="22"/>
        </w:rPr>
        <w:t>VIA VINCENZO ROSSI NR.75-61122 PESARO</w:t>
      </w:r>
    </w:p>
    <w:p>
      <w:pPr>
        <w:pStyle w:val="Normal"/>
        <w:rPr>
          <w:sz w:val="4"/>
          <w:szCs w:val="4"/>
        </w:rPr>
      </w:pPr>
      <w:r>
        <w:rPr>
          <w:sz w:val="4"/>
          <w:szCs w:val="4"/>
        </w:rPr>
      </w:r>
    </w:p>
    <w:p>
      <w:pPr>
        <w:pStyle w:val="Normal"/>
        <w:jc w:val="both"/>
        <w:rPr/>
      </w:pPr>
      <w:r>
        <w:rPr>
          <w:sz w:val="22"/>
          <w:szCs w:val="22"/>
        </w:rPr>
        <w:t xml:space="preserve"> </w:t>
      </w:r>
      <w:r>
        <w:rPr>
          <w:sz w:val="22"/>
          <w:szCs w:val="22"/>
        </w:rPr>
        <w:t xml:space="preserve">ROMA – Presidenza Nazionale Unione Italiana dei Ciechi e degli Ipovedenti </w:t>
      </w:r>
    </w:p>
    <w:p>
      <w:pPr>
        <w:pStyle w:val="Normal"/>
        <w:jc w:val="both"/>
        <w:rPr/>
      </w:pPr>
      <w:r>
        <w:rPr>
          <w:sz w:val="22"/>
          <w:szCs w:val="22"/>
        </w:rPr>
        <w:t>Via Borgognona n. 38 Cap 00187 per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214</TotalTime>
  <Application>LibreOffice/7.4.2.3$Windows_X86_64 LibreOffice_project/382eef1f22670f7f4118c8c2dd222ec7ad009daf</Application>
  <AppVersion>15.0000</AppVersion>
  <Pages>6</Pages>
  <Words>2301</Words>
  <Characters>13474</Characters>
  <CharactersWithSpaces>15546</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2023-11-13T17:31:03Z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