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b/>
          <w:bCs/>
          <w:i/>
          <w:sz w:val="26"/>
          <w:szCs w:val="26"/>
        </w:rPr>
        <w:t>ACCOMPAGNAMOCI art 40 -TREVISO</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pBdr>
          <w:top w:val="single" w:sz="4" w:space="1" w:color="000000"/>
          <w:left w:val="single" w:sz="4" w:space="4" w:color="000000"/>
          <w:bottom w:val="single" w:sz="4" w:space="1" w:color="000000"/>
          <w:right w:val="single" w:sz="4" w:space="4" w:color="000000"/>
        </w:pBdr>
        <w:suppressAutoHyphens w:val="true"/>
        <w:bidi w:val="0"/>
        <w:spacing w:before="0" w:after="0"/>
        <w:ind w:left="0" w:right="0" w:hanging="0"/>
        <w:jc w:val="left"/>
        <w:rPr>
          <w:rFonts w:ascii="Calibri" w:hAnsi="Calibri" w:eastAsia="Times New Roman" w:cs="Calibri" w:asciiTheme="minorHAnsi" w:cstheme="minorHAnsi" w:hAnsiTheme="minorHAnsi"/>
          <w:szCs w:val="24"/>
        </w:rPr>
      </w:pPr>
      <w:r>
        <w:rPr>
          <w:rFonts w:eastAsia="Times New Roman" w:cs="Calibri" w:ascii="Calibri" w:hAnsi="Calibri" w:asciiTheme="minorHAnsi" w:cstheme="minorHAnsi" w:hAnsiTheme="minorHAnsi"/>
          <w:szCs w:val="24"/>
        </w:rPr>
        <w:t xml:space="preserve">Accompagnamento con mezzi pubblici o auto di n. 6 ciechi civili: dalle rispettive residenze ai luoghi di lavoro, associazione o altro. I richiedenti vivono in Provincia di Treviso a PONTE di PIAVE (1), MASER (1), CASTELFRANCO V.to (2), SILEA (1), TREVISO (1). Uno dei richiedenti ha necessità di accompagnamento per attività associative sul territorio nazionale. Altro richiedente ha necessità di accompagnamento occasionale fuori regione. Per tutti è necessario supporto per l’accesso alle informazioni su Web e cartaceo. Lettura e stesura di testi scritti. Acquisizione di documenti con scanner. </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false"/>
        <w:bidi w:val="0"/>
        <w:spacing w:before="0" w:after="200"/>
        <w:ind w:left="397" w:right="0" w:hanging="340"/>
        <w:contextualSpacing/>
        <w:jc w:val="left"/>
        <w:rPr/>
      </w:pPr>
      <w:r>
        <w:rPr>
          <w:rFonts w:eastAsia="Times New Roman" w:cs="Calibri" w:ascii="Calibri" w:hAnsi="Calibri" w:asciiTheme="minorHAnsi" w:cstheme="minorHAnsi" w:hAnsiTheme="minorHAnsi"/>
          <w:szCs w:val="24"/>
        </w:rPr>
        <w:t xml:space="preserve">Riunioni con L’OLP, </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false"/>
        <w:bidi w:val="0"/>
        <w:spacing w:before="0" w:after="200"/>
        <w:ind w:left="397" w:right="0" w:hanging="340"/>
        <w:contextualSpacing/>
        <w:jc w:val="left"/>
        <w:rPr/>
      </w:pPr>
      <w:r>
        <w:rPr>
          <w:rFonts w:eastAsia="Times New Roman" w:cs="Calibri" w:ascii="Calibri" w:hAnsi="Calibri" w:asciiTheme="minorHAnsi" w:cstheme="minorHAnsi" w:hAnsiTheme="minorHAnsi"/>
          <w:szCs w:val="24"/>
        </w:rPr>
        <w:t>Collaborazione per ricerca bandi,</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false"/>
        <w:bidi w:val="0"/>
        <w:spacing w:before="0" w:after="200"/>
        <w:ind w:left="397" w:right="0" w:hanging="340"/>
        <w:contextualSpacing/>
        <w:jc w:val="left"/>
        <w:rPr/>
      </w:pPr>
      <w:r>
        <w:rPr>
          <w:rFonts w:eastAsia="Times New Roman" w:cs="Calibri" w:ascii="Calibri" w:hAnsi="Calibri" w:asciiTheme="minorHAnsi" w:cstheme="minorHAnsi" w:hAnsiTheme="minorHAnsi"/>
          <w:szCs w:val="24"/>
        </w:rPr>
        <w:t>Supporto alla redazione o ideazione di progetti,</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false"/>
        <w:bidi w:val="0"/>
        <w:spacing w:before="0" w:after="200"/>
        <w:ind w:left="397" w:right="0" w:hanging="340"/>
        <w:contextualSpacing/>
        <w:jc w:val="left"/>
        <w:rPr/>
      </w:pPr>
      <w:r>
        <w:rPr>
          <w:rFonts w:eastAsia="Times New Roman" w:cs="Calibri" w:ascii="Calibri" w:hAnsi="Calibri" w:asciiTheme="minorHAnsi" w:cstheme="minorHAnsi" w:hAnsiTheme="minorHAnsi"/>
          <w:szCs w:val="24"/>
        </w:rPr>
        <w:t>Supporto all’organizzazione di eventi quali: assemblee sociali, giornate della vista, screening sulla popolazione),</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false"/>
        <w:bidi w:val="0"/>
        <w:spacing w:before="0" w:after="200"/>
        <w:ind w:left="397" w:right="0" w:hanging="340"/>
        <w:contextualSpacing/>
        <w:jc w:val="left"/>
        <w:rPr/>
      </w:pPr>
      <w:r>
        <w:rPr>
          <w:rFonts w:eastAsia="Times New Roman" w:cs="Calibri" w:ascii="Calibri" w:hAnsi="Calibri" w:asciiTheme="minorHAnsi" w:cstheme="minorHAnsi" w:hAnsiTheme="minorHAnsi"/>
          <w:szCs w:val="24"/>
        </w:rPr>
        <w:t>Partecipazione come supporto ad attività quali: gite, spettacoli, incontri, corsi, attività di raccolta fondi,</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false"/>
        <w:bidi w:val="0"/>
        <w:spacing w:before="0" w:after="200"/>
        <w:ind w:left="397" w:right="0" w:hanging="340"/>
        <w:contextualSpacing/>
        <w:jc w:val="left"/>
        <w:rPr/>
      </w:pPr>
      <w:r>
        <w:rPr>
          <w:rFonts w:eastAsia="Times New Roman" w:cs="Calibri" w:ascii="Calibri" w:hAnsi="Calibri" w:asciiTheme="minorHAnsi" w:cstheme="minorHAnsi" w:hAnsiTheme="minorHAnsi"/>
          <w:szCs w:val="24"/>
        </w:rPr>
        <w:t>Sensibilizzazione tramite telefonate,</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false"/>
        <w:bidi w:val="0"/>
        <w:spacing w:before="0" w:after="200"/>
        <w:ind w:left="397" w:right="0" w:hanging="340"/>
        <w:contextualSpacing/>
        <w:jc w:val="left"/>
        <w:rPr/>
      </w:pPr>
      <w:r>
        <w:rPr>
          <w:rFonts w:eastAsia="Times New Roman" w:cs="Calibri" w:ascii="Calibri" w:hAnsi="Calibri" w:asciiTheme="minorHAnsi" w:cstheme="minorHAnsi" w:hAnsiTheme="minorHAnsi"/>
          <w:szCs w:val="24"/>
        </w:rPr>
        <w:t>Supporto alle attività di telefono amico,</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false"/>
        <w:bidi w:val="0"/>
        <w:spacing w:before="0" w:after="200"/>
        <w:ind w:left="397" w:right="0" w:hanging="340"/>
        <w:contextualSpacing/>
        <w:jc w:val="left"/>
        <w:rPr/>
      </w:pPr>
      <w:r>
        <w:rPr>
          <w:rFonts w:eastAsia="Times New Roman" w:cs="Calibri" w:ascii="Calibri" w:hAnsi="Calibri" w:asciiTheme="minorHAnsi" w:cstheme="minorHAnsi" w:hAnsiTheme="minorHAnsi"/>
          <w:szCs w:val="24"/>
        </w:rPr>
        <w:t>Gestione social sezionali,</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false"/>
        <w:bidi w:val="0"/>
        <w:spacing w:before="0" w:after="200"/>
        <w:ind w:left="397" w:right="0" w:hanging="340"/>
        <w:contextualSpacing/>
        <w:jc w:val="left"/>
        <w:rPr/>
      </w:pPr>
      <w:r>
        <w:rPr>
          <w:rFonts w:eastAsia="Times New Roman" w:cs="Calibri" w:ascii="Calibri" w:hAnsi="Calibri" w:asciiTheme="minorHAnsi" w:cstheme="minorHAnsi" w:hAnsiTheme="minorHAnsi"/>
          <w:szCs w:val="24"/>
        </w:rPr>
        <w:t>Supporto alla realizzazione delle newsletter informative rivolte ai soci.</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false"/>
        <w:bidi w:val="0"/>
        <w:spacing w:before="0" w:after="200"/>
        <w:ind w:left="397" w:right="0" w:hanging="340"/>
        <w:contextualSpacing/>
        <w:jc w:val="left"/>
        <w:rPr/>
      </w:pPr>
      <w:r>
        <w:rPr>
          <w:rFonts w:eastAsia="Times New Roman" w:cs="Calibri" w:ascii="Calibri" w:hAnsi="Calibri" w:asciiTheme="minorHAnsi" w:cstheme="minorHAnsi" w:hAnsiTheme="minorHAnsi"/>
        </w:rPr>
        <w:t>Supporto all’aggiornamento dei contenuti del sito sezionale.</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r>
        <w:br w:type="page"/>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Unione Italiana Dei Ciechi e degli Ipovedenti ETS-APS    Sezione territoriale di TREVISO</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Viale Orleans .n.4 cap  31100 città TREVISO</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rPr>
              <w:t xml:space="preserve">Tel.: 0422547766 e-mail: </w:t>
            </w:r>
            <w:hyperlink r:id="rId3">
              <w:r>
                <w:rPr>
                  <w:rStyle w:val="CollegamentoInternet"/>
                  <w:rFonts w:eastAsia="Times New Roman"/>
                </w:rPr>
                <w:t>uictv@uici.it</w:t>
              </w:r>
            </w:hyperlink>
            <w:r>
              <w:rPr>
                <w:rFonts w:eastAsia="Times New Roman"/>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rPr>
              <w:t xml:space="preserve">pec: </w:t>
            </w:r>
            <w:hyperlink r:id="rId4">
              <w:r>
                <w:rPr>
                  <w:rStyle w:val="CollegamentoInternet"/>
                  <w:rFonts w:eastAsia="Times New Roman"/>
                </w:rPr>
                <w:t>treviso@pec.uiciveneto.it</w:t>
              </w:r>
            </w:hyperlink>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6</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 e CERTIFICAZIONE CORSO BRAILLE</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29"/>
        <w:rPr>
          <w:color w:val="FF0000"/>
        </w:rPr>
      </w:pPr>
      <w:r>
        <w:rPr>
          <w:color w:val="FF0000"/>
        </w:rPr>
        <w:t xml:space="preserve">- </w:t>
      </w:r>
      <w:r>
        <w:rPr/>
        <w:t>TREVISO -Unione Italiana Ciechi Sezione Territoriale di Treviso, Viale Orleans 4 , 31100 , per la formazione svolta in presenza.</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211" w:hanging="360"/>
      </w:pPr>
      <w:rPr>
        <w:rFonts w:ascii="Symbol" w:hAnsi="Symbol" w:cs="Symbol" w:hint="default"/>
        <w:rFonts w:cstheme="minorHAnsi"/>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tv@uici.it" TargetMode="External"/><Relationship Id="rId4" Type="http://schemas.openxmlformats.org/officeDocument/2006/relationships/hyperlink" Target="mailto:treviso@pec.uiciveneto.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234</TotalTime>
  <Application>LibreOffice/7.4.2.3$Windows_X86_64 LibreOffice_project/382eef1f22670f7f4118c8c2dd222ec7ad009daf</Application>
  <AppVersion>15.0000</AppVersion>
  <Pages>7</Pages>
  <Words>2290</Words>
  <Characters>13532</Characters>
  <CharactersWithSpaces>15586</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2023-11-10T20:11:05Z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